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VCF 9.1.x</w:t>
        <w:br/>
        <w:t>Upgrade Readiness Checklist</w:t>
      </w:r>
    </w:p>
    <w:p>
      <w:r>
        <w:rPr>
          <w:b/>
        </w:rPr>
        <w:t>Five gates. Named owners. Evidence before execution.</w:t>
      </w:r>
    </w:p>
    <w:p>
      <w:r>
        <w:rPr>
          <w:b w:val="0"/>
        </w:rPr>
        <w:t>A companion to “Before You Upgrade to VCF 9.1.x: Five Readiness Gates.” Use this worksheet to assemble a reviewable readiness packet for your exact environment.[1]</w:t>
      </w:r>
    </w:p>
    <w:tbl>
      <w:tblPr>
        <w:tblW w:type="auto" w:w="0"/>
        <w:tblLook w:firstColumn="1" w:firstRow="1" w:lastColumn="0" w:lastRow="0" w:noHBand="0" w:noVBand="1" w:val="04A0"/>
      </w:tblPr>
      <w:tblGrid>
        <w:gridCol w:w="10512"/>
      </w:tblGrid>
      <w:tr>
        <w:tc>
          <w:tcPr>
            <w:tcW w:type="dxa" w:w="10512"/>
            <w:shd w:fill="EDF5F7"/>
          </w:tcPr>
          <w:p>
            <w:pPr>
              <w:spacing w:before="80" w:after="80"/>
            </w:pPr>
            <w:r>
              <w:rPr>
                <w:b/>
                <w:color w:val="147D92"/>
              </w:rPr>
              <w:t xml:space="preserve">SCOPE  </w:t>
            </w:r>
            <w:r>
              <w:t>Planning and review aid—not an executable upgrade runbook or a Broadcom support determination. Revalidate technical requirements against current documentation for the exact source and target builds.</w:t>
            </w:r>
          </w:p>
        </w:tc>
      </w:tr>
    </w:tbl>
    <w:p>
      <w:pPr>
        <w:pStyle w:val="Heading2"/>
      </w:pPr>
      <w:r>
        <w:t>Change record</w:t>
      </w:r>
    </w:p>
    <w:tbl>
      <w:tblPr>
        <w:tblStyle w:val="TableGrid"/>
        <w:tblW w:type="auto" w:w="0"/>
        <w:jc w:val="center"/>
        <w:tblLayout w:type="fixed"/>
        <w:tblLook w:firstColumn="1" w:firstRow="1" w:lastColumn="0" w:lastRow="0" w:noHBand="0" w:noVBand="1" w:val="04A0"/>
      </w:tblPr>
      <w:tblGrid>
        <w:gridCol w:w="2908"/>
        <w:gridCol w:w="7604"/>
      </w:tblGrid>
      <w:tr>
        <w:trPr>
          <w:tblHeader/>
          <w:cantSplit/>
        </w:trPr>
        <w:tc>
          <w:tcPr>
            <w:tcW w:type="dxa" w:w="2908"/>
            <w:shd w:fill="147D92"/>
            <w:vAlign w:val="center"/>
          </w:tcPr>
          <w:p>
            <w:pPr>
              <w:spacing w:before="40" w:after="40" w:line="240" w:lineRule="auto"/>
            </w:pPr>
            <w:r>
              <w:rPr>
                <w:b/>
                <w:color w:val="FFFFFF"/>
                <w:sz w:val="17"/>
              </w:rPr>
              <w:t>Field</w:t>
            </w:r>
          </w:p>
        </w:tc>
        <w:tc>
          <w:tcPr>
            <w:tcW w:type="dxa" w:w="7604"/>
            <w:shd w:fill="147D92"/>
            <w:vAlign w:val="center"/>
          </w:tcPr>
          <w:p>
            <w:pPr>
              <w:spacing w:before="40" w:after="40" w:line="240" w:lineRule="auto"/>
            </w:pPr>
            <w:r>
              <w:rPr>
                <w:b/>
                <w:color w:val="FFFFFF"/>
                <w:sz w:val="17"/>
              </w:rPr>
              <w:t>Record</w:t>
            </w:r>
          </w:p>
        </w:tc>
      </w:tr>
      <w:tr>
        <w:trPr>
          <w:trHeight w:val="418" w:hRule="atLeast"/>
          <w:cantSplit/>
        </w:trPr>
        <w:tc>
          <w:tcPr>
            <w:tcW w:type="dxa" w:w="2908"/>
            <w:vAlign w:val="center"/>
          </w:tcPr>
          <w:p>
            <w:pPr>
              <w:spacing w:before="40" w:after="40" w:line="240" w:lineRule="auto"/>
            </w:pPr>
            <w:r>
              <w:rPr>
                <w:sz w:val="17"/>
              </w:rPr>
              <w:t>Organization / environment</w:t>
            </w:r>
          </w:p>
        </w:tc>
        <w:tc>
          <w:tcPr>
            <w:tcW w:type="dxa" w:w="7604"/>
            <w:vAlign w:val="center"/>
          </w:tcPr>
          <w:p>
            <w:pPr>
              <w:spacing w:before="40" w:after="40" w:line="240" w:lineRule="auto"/>
            </w:pPr>
            <w:r>
              <w:rPr>
                <w:sz w:val="17"/>
              </w:rPr>
            </w:r>
          </w:p>
        </w:tc>
      </w:tr>
      <w:tr>
        <w:trPr>
          <w:trHeight w:val="418" w:hRule="atLeast"/>
          <w:cantSplit/>
        </w:trPr>
        <w:tc>
          <w:tcPr>
            <w:tcW w:type="dxa" w:w="2908"/>
            <w:vAlign w:val="center"/>
          </w:tcPr>
          <w:p>
            <w:pPr>
              <w:spacing w:before="40" w:after="40" w:line="240" w:lineRule="auto"/>
            </w:pPr>
            <w:r>
              <w:rPr>
                <w:sz w:val="17"/>
              </w:rPr>
              <w:t>Change ID / evidence repository</w:t>
            </w:r>
          </w:p>
        </w:tc>
        <w:tc>
          <w:tcPr>
            <w:tcW w:type="dxa" w:w="7604"/>
            <w:vAlign w:val="center"/>
          </w:tcPr>
          <w:p>
            <w:pPr>
              <w:spacing w:before="40" w:after="40" w:line="240" w:lineRule="auto"/>
            </w:pPr>
            <w:r>
              <w:rPr>
                <w:sz w:val="17"/>
              </w:rPr>
            </w:r>
          </w:p>
        </w:tc>
      </w:tr>
      <w:tr>
        <w:trPr>
          <w:trHeight w:val="418" w:hRule="atLeast"/>
          <w:cantSplit/>
        </w:trPr>
        <w:tc>
          <w:tcPr>
            <w:tcW w:type="dxa" w:w="2908"/>
            <w:vAlign w:val="center"/>
          </w:tcPr>
          <w:p>
            <w:pPr>
              <w:spacing w:before="40" w:after="40" w:line="240" w:lineRule="auto"/>
            </w:pPr>
            <w:r>
              <w:rPr>
                <w:sz w:val="17"/>
              </w:rPr>
              <w:t>Source release / intended target build</w:t>
            </w:r>
          </w:p>
        </w:tc>
        <w:tc>
          <w:tcPr>
            <w:tcW w:type="dxa" w:w="7604"/>
            <w:vAlign w:val="center"/>
          </w:tcPr>
          <w:p>
            <w:pPr>
              <w:spacing w:before="40" w:after="40" w:line="240" w:lineRule="auto"/>
            </w:pPr>
            <w:r>
              <w:rPr>
                <w:sz w:val="17"/>
              </w:rPr>
            </w:r>
          </w:p>
        </w:tc>
      </w:tr>
      <w:tr>
        <w:trPr>
          <w:trHeight w:val="418" w:hRule="atLeast"/>
          <w:cantSplit/>
        </w:trPr>
        <w:tc>
          <w:tcPr>
            <w:tcW w:type="dxa" w:w="2908"/>
            <w:vAlign w:val="center"/>
          </w:tcPr>
          <w:p>
            <w:pPr>
              <w:spacing w:before="40" w:after="40" w:line="240" w:lineRule="auto"/>
            </w:pPr>
            <w:r>
              <w:rPr>
                <w:sz w:val="17"/>
              </w:rPr>
              <w:t>Scope / domains / deferred work</w:t>
            </w:r>
          </w:p>
        </w:tc>
        <w:tc>
          <w:tcPr>
            <w:tcW w:type="dxa" w:w="7604"/>
            <w:vAlign w:val="center"/>
          </w:tcPr>
          <w:p>
            <w:pPr>
              <w:spacing w:before="40" w:after="40" w:line="240" w:lineRule="auto"/>
            </w:pPr>
            <w:r>
              <w:rPr>
                <w:sz w:val="17"/>
              </w:rPr>
            </w:r>
          </w:p>
        </w:tc>
      </w:tr>
      <w:tr>
        <w:trPr>
          <w:trHeight w:val="418" w:hRule="atLeast"/>
          <w:cantSplit/>
        </w:trPr>
        <w:tc>
          <w:tcPr>
            <w:tcW w:type="dxa" w:w="2908"/>
            <w:vAlign w:val="center"/>
          </w:tcPr>
          <w:p>
            <w:pPr>
              <w:spacing w:before="40" w:after="40" w:line="240" w:lineRule="auto"/>
            </w:pPr>
            <w:r>
              <w:rPr>
                <w:sz w:val="17"/>
              </w:rPr>
              <w:t>Planned window / time zone</w:t>
            </w:r>
          </w:p>
        </w:tc>
        <w:tc>
          <w:tcPr>
            <w:tcW w:type="dxa" w:w="7604"/>
            <w:vAlign w:val="center"/>
          </w:tcPr>
          <w:p>
            <w:pPr>
              <w:spacing w:before="40" w:after="40" w:line="240" w:lineRule="auto"/>
            </w:pPr>
            <w:r>
              <w:rPr>
                <w:sz w:val="17"/>
              </w:rPr>
            </w:r>
          </w:p>
        </w:tc>
      </w:tr>
      <w:tr>
        <w:trPr>
          <w:trHeight w:val="418" w:hRule="atLeast"/>
          <w:cantSplit/>
        </w:trPr>
        <w:tc>
          <w:tcPr>
            <w:tcW w:type="dxa" w:w="2908"/>
            <w:vAlign w:val="center"/>
          </w:tcPr>
          <w:p>
            <w:pPr>
              <w:spacing w:before="40" w:after="40" w:line="240" w:lineRule="auto"/>
            </w:pPr>
            <w:r>
              <w:rPr>
                <w:sz w:val="17"/>
              </w:rPr>
              <w:t>Change owner / technical approver</w:t>
            </w:r>
          </w:p>
        </w:tc>
        <w:tc>
          <w:tcPr>
            <w:tcW w:type="dxa" w:w="7604"/>
            <w:vAlign w:val="center"/>
          </w:tcPr>
          <w:p>
            <w:pPr>
              <w:spacing w:before="40" w:after="40" w:line="240" w:lineRule="auto"/>
            </w:pPr>
            <w:r>
              <w:rPr>
                <w:sz w:val="17"/>
              </w:rPr>
            </w:r>
          </w:p>
        </w:tc>
      </w:tr>
    </w:tbl>
    <w:p>
      <w:pPr>
        <w:spacing w:after="0"/>
      </w:pPr>
    </w:p>
    <w:p>
      <w:pPr>
        <w:pStyle w:val="Heading2"/>
      </w:pPr>
      <w:r>
        <w:t>Gate review at a glance</w:t>
      </w:r>
    </w:p>
    <w:tbl>
      <w:tblPr>
        <w:tblStyle w:val="TableGrid"/>
        <w:tblW w:type="auto" w:w="0"/>
        <w:jc w:val="center"/>
        <w:tblLayout w:type="fixed"/>
        <w:tblLook w:firstColumn="1" w:firstRow="1" w:lastColumn="0" w:lastRow="0" w:noHBand="0" w:noVBand="1" w:val="04A0"/>
      </w:tblPr>
      <w:tblGrid>
        <w:gridCol w:w="3619"/>
        <w:gridCol w:w="2068"/>
        <w:gridCol w:w="2068"/>
        <w:gridCol w:w="2757"/>
      </w:tblGrid>
      <w:tr>
        <w:trPr>
          <w:tblHeader/>
          <w:cantSplit/>
        </w:trPr>
        <w:tc>
          <w:tcPr>
            <w:tcW w:type="dxa" w:w="3619"/>
            <w:shd w:fill="147D92"/>
            <w:vAlign w:val="center"/>
          </w:tcPr>
          <w:p>
            <w:pPr>
              <w:spacing w:before="40" w:after="40" w:line="240" w:lineRule="auto"/>
            </w:pPr>
            <w:r>
              <w:rPr>
                <w:b/>
                <w:color w:val="FFFFFF"/>
                <w:sz w:val="17"/>
              </w:rPr>
              <w:t>Gate</w:t>
            </w:r>
          </w:p>
        </w:tc>
        <w:tc>
          <w:tcPr>
            <w:tcW w:type="dxa" w:w="2068"/>
            <w:shd w:fill="147D92"/>
            <w:vAlign w:val="center"/>
          </w:tcPr>
          <w:p>
            <w:pPr>
              <w:spacing w:before="40" w:after="40" w:line="240" w:lineRule="auto"/>
            </w:pPr>
            <w:r>
              <w:rPr>
                <w:b/>
                <w:color w:val="FFFFFF"/>
                <w:sz w:val="17"/>
              </w:rPr>
              <w:t>Owner</w:t>
            </w:r>
          </w:p>
        </w:tc>
        <w:tc>
          <w:tcPr>
            <w:tcW w:type="dxa" w:w="2068"/>
            <w:shd w:fill="147D92"/>
            <w:vAlign w:val="center"/>
          </w:tcPr>
          <w:p>
            <w:pPr>
              <w:spacing w:before="40" w:after="40" w:line="240" w:lineRule="auto"/>
            </w:pPr>
            <w:r>
              <w:rPr>
                <w:b/>
                <w:color w:val="FFFFFF"/>
                <w:sz w:val="17"/>
              </w:rPr>
              <w:t>Status</w:t>
            </w:r>
          </w:p>
        </w:tc>
        <w:tc>
          <w:tcPr>
            <w:tcW w:type="dxa" w:w="2757"/>
            <w:shd w:fill="147D92"/>
            <w:vAlign w:val="center"/>
          </w:tcPr>
          <w:p>
            <w:pPr>
              <w:spacing w:before="40" w:after="40" w:line="240" w:lineRule="auto"/>
            </w:pPr>
            <w:r>
              <w:rPr>
                <w:b/>
                <w:color w:val="FFFFFF"/>
                <w:sz w:val="17"/>
              </w:rPr>
              <w:t>Evidence / review date</w:t>
            </w:r>
          </w:p>
        </w:tc>
      </w:tr>
      <w:tr>
        <w:trPr>
          <w:trHeight w:val="418" w:hRule="atLeast"/>
          <w:cantSplit/>
        </w:trPr>
        <w:tc>
          <w:tcPr>
            <w:tcW w:type="dxa" w:w="3619"/>
            <w:vAlign w:val="center"/>
          </w:tcPr>
          <w:p>
            <w:pPr>
              <w:spacing w:before="40" w:after="40" w:line="240" w:lineRule="auto"/>
            </w:pPr>
            <w:r>
              <w:rPr>
                <w:sz w:val="17"/>
              </w:rPr>
              <w:t>1  Supported path</w:t>
            </w:r>
          </w:p>
        </w:tc>
        <w:tc>
          <w:tcPr>
            <w:tcW w:type="dxa" w:w="2068"/>
            <w:vAlign w:val="center"/>
          </w:tcPr>
          <w:p>
            <w:pPr>
              <w:spacing w:before="40" w:after="40" w:line="240" w:lineRule="auto"/>
            </w:pPr>
            <w:r>
              <w:rPr>
                <w:sz w:val="17"/>
              </w:rPr>
            </w:r>
          </w:p>
        </w:tc>
        <w:tc>
          <w:tcPr>
            <w:tcW w:type="dxa" w:w="2068"/>
            <w:vAlign w:val="center"/>
          </w:tcPr>
          <w:p>
            <w:pPr>
              <w:spacing w:before="40" w:after="40" w:line="240" w:lineRule="auto"/>
            </w:pPr>
            <w:r>
              <w:rPr>
                <w:sz w:val="17"/>
              </w:rPr>
            </w:r>
          </w:p>
        </w:tc>
        <w:tc>
          <w:tcPr>
            <w:tcW w:type="dxa" w:w="2757"/>
            <w:vAlign w:val="center"/>
          </w:tcPr>
          <w:p>
            <w:pPr>
              <w:spacing w:before="40" w:after="40" w:line="240" w:lineRule="auto"/>
            </w:pPr>
            <w:r>
              <w:rPr>
                <w:sz w:val="17"/>
              </w:rPr>
            </w:r>
          </w:p>
        </w:tc>
      </w:tr>
      <w:tr>
        <w:trPr>
          <w:trHeight w:val="418" w:hRule="atLeast"/>
          <w:cantSplit/>
        </w:trPr>
        <w:tc>
          <w:tcPr>
            <w:tcW w:type="dxa" w:w="3619"/>
            <w:vAlign w:val="center"/>
          </w:tcPr>
          <w:p>
            <w:pPr>
              <w:spacing w:before="40" w:after="40" w:line="240" w:lineRule="auto"/>
            </w:pPr>
            <w:r>
              <w:rPr>
                <w:sz w:val="17"/>
              </w:rPr>
              <w:t>2  Network and DNS</w:t>
            </w:r>
          </w:p>
        </w:tc>
        <w:tc>
          <w:tcPr>
            <w:tcW w:type="dxa" w:w="2068"/>
            <w:vAlign w:val="center"/>
          </w:tcPr>
          <w:p>
            <w:pPr>
              <w:spacing w:before="40" w:after="40" w:line="240" w:lineRule="auto"/>
            </w:pPr>
            <w:r>
              <w:rPr>
                <w:sz w:val="17"/>
              </w:rPr>
            </w:r>
          </w:p>
        </w:tc>
        <w:tc>
          <w:tcPr>
            <w:tcW w:type="dxa" w:w="2068"/>
            <w:vAlign w:val="center"/>
          </w:tcPr>
          <w:p>
            <w:pPr>
              <w:spacing w:before="40" w:after="40" w:line="240" w:lineRule="auto"/>
            </w:pPr>
            <w:r>
              <w:rPr>
                <w:sz w:val="17"/>
              </w:rPr>
            </w:r>
          </w:p>
        </w:tc>
        <w:tc>
          <w:tcPr>
            <w:tcW w:type="dxa" w:w="2757"/>
            <w:vAlign w:val="center"/>
          </w:tcPr>
          <w:p>
            <w:pPr>
              <w:spacing w:before="40" w:after="40" w:line="240" w:lineRule="auto"/>
            </w:pPr>
            <w:r>
              <w:rPr>
                <w:sz w:val="17"/>
              </w:rPr>
            </w:r>
          </w:p>
        </w:tc>
      </w:tr>
      <w:tr>
        <w:trPr>
          <w:trHeight w:val="418" w:hRule="atLeast"/>
          <w:cantSplit/>
        </w:trPr>
        <w:tc>
          <w:tcPr>
            <w:tcW w:type="dxa" w:w="3619"/>
            <w:vAlign w:val="center"/>
          </w:tcPr>
          <w:p>
            <w:pPr>
              <w:spacing w:before="40" w:after="40" w:line="240" w:lineRule="auto"/>
            </w:pPr>
            <w:r>
              <w:rPr>
                <w:sz w:val="17"/>
              </w:rPr>
              <w:t>3  Owned sequence</w:t>
            </w:r>
          </w:p>
        </w:tc>
        <w:tc>
          <w:tcPr>
            <w:tcW w:type="dxa" w:w="2068"/>
            <w:vAlign w:val="center"/>
          </w:tcPr>
          <w:p>
            <w:pPr>
              <w:spacing w:before="40" w:after="40" w:line="240" w:lineRule="auto"/>
            </w:pPr>
            <w:r>
              <w:rPr>
                <w:sz w:val="17"/>
              </w:rPr>
            </w:r>
          </w:p>
        </w:tc>
        <w:tc>
          <w:tcPr>
            <w:tcW w:type="dxa" w:w="2068"/>
            <w:vAlign w:val="center"/>
          </w:tcPr>
          <w:p>
            <w:pPr>
              <w:spacing w:before="40" w:after="40" w:line="240" w:lineRule="auto"/>
            </w:pPr>
            <w:r>
              <w:rPr>
                <w:sz w:val="17"/>
              </w:rPr>
            </w:r>
          </w:p>
        </w:tc>
        <w:tc>
          <w:tcPr>
            <w:tcW w:type="dxa" w:w="2757"/>
            <w:vAlign w:val="center"/>
          </w:tcPr>
          <w:p>
            <w:pPr>
              <w:spacing w:before="40" w:after="40" w:line="240" w:lineRule="auto"/>
            </w:pPr>
            <w:r>
              <w:rPr>
                <w:sz w:val="17"/>
              </w:rPr>
            </w:r>
          </w:p>
        </w:tc>
      </w:tr>
      <w:tr>
        <w:trPr>
          <w:trHeight w:val="418" w:hRule="atLeast"/>
          <w:cantSplit/>
        </w:trPr>
        <w:tc>
          <w:tcPr>
            <w:tcW w:type="dxa" w:w="3619"/>
            <w:vAlign w:val="center"/>
          </w:tcPr>
          <w:p>
            <w:pPr>
              <w:spacing w:before="40" w:after="40" w:line="240" w:lineRule="auto"/>
            </w:pPr>
            <w:r>
              <w:rPr>
                <w:sz w:val="17"/>
              </w:rPr>
              <w:t>4  Recovery and Day-2</w:t>
            </w:r>
          </w:p>
        </w:tc>
        <w:tc>
          <w:tcPr>
            <w:tcW w:type="dxa" w:w="2068"/>
            <w:vAlign w:val="center"/>
          </w:tcPr>
          <w:p>
            <w:pPr>
              <w:spacing w:before="40" w:after="40" w:line="240" w:lineRule="auto"/>
            </w:pPr>
            <w:r>
              <w:rPr>
                <w:sz w:val="17"/>
              </w:rPr>
            </w:r>
          </w:p>
        </w:tc>
        <w:tc>
          <w:tcPr>
            <w:tcW w:type="dxa" w:w="2068"/>
            <w:vAlign w:val="center"/>
          </w:tcPr>
          <w:p>
            <w:pPr>
              <w:spacing w:before="40" w:after="40" w:line="240" w:lineRule="auto"/>
            </w:pPr>
            <w:r>
              <w:rPr>
                <w:sz w:val="17"/>
              </w:rPr>
            </w:r>
          </w:p>
        </w:tc>
        <w:tc>
          <w:tcPr>
            <w:tcW w:type="dxa" w:w="2757"/>
            <w:vAlign w:val="center"/>
          </w:tcPr>
          <w:p>
            <w:pPr>
              <w:spacing w:before="40" w:after="40" w:line="240" w:lineRule="auto"/>
            </w:pPr>
            <w:r>
              <w:rPr>
                <w:sz w:val="17"/>
              </w:rPr>
            </w:r>
          </w:p>
        </w:tc>
      </w:tr>
      <w:tr>
        <w:trPr>
          <w:trHeight w:val="418" w:hRule="atLeast"/>
          <w:cantSplit/>
        </w:trPr>
        <w:tc>
          <w:tcPr>
            <w:tcW w:type="dxa" w:w="3619"/>
            <w:vAlign w:val="center"/>
          </w:tcPr>
          <w:p>
            <w:pPr>
              <w:spacing w:before="40" w:after="40" w:line="240" w:lineRule="auto"/>
            </w:pPr>
            <w:r>
              <w:rPr>
                <w:sz w:val="17"/>
              </w:rPr>
              <w:t>5  Automation</w:t>
            </w:r>
          </w:p>
        </w:tc>
        <w:tc>
          <w:tcPr>
            <w:tcW w:type="dxa" w:w="2068"/>
            <w:vAlign w:val="center"/>
          </w:tcPr>
          <w:p>
            <w:pPr>
              <w:spacing w:before="40" w:after="40" w:line="240" w:lineRule="auto"/>
            </w:pPr>
            <w:r>
              <w:rPr>
                <w:sz w:val="17"/>
              </w:rPr>
            </w:r>
          </w:p>
        </w:tc>
        <w:tc>
          <w:tcPr>
            <w:tcW w:type="dxa" w:w="2068"/>
            <w:vAlign w:val="center"/>
          </w:tcPr>
          <w:p>
            <w:pPr>
              <w:spacing w:before="40" w:after="40" w:line="240" w:lineRule="auto"/>
            </w:pPr>
            <w:r>
              <w:rPr>
                <w:sz w:val="17"/>
              </w:rPr>
            </w:r>
          </w:p>
        </w:tc>
        <w:tc>
          <w:tcPr>
            <w:tcW w:type="dxa" w:w="2757"/>
            <w:vAlign w:val="center"/>
          </w:tcPr>
          <w:p>
            <w:pPr>
              <w:spacing w:before="40" w:after="40" w:line="240" w:lineRule="auto"/>
            </w:pPr>
            <w:r>
              <w:rPr>
                <w:sz w:val="17"/>
              </w:rPr>
            </w:r>
          </w:p>
        </w:tc>
      </w:tr>
    </w:tbl>
    <w:p>
      <w:pPr>
        <w:spacing w:after="0"/>
      </w:pPr>
    </w:p>
    <w:p>
      <w:pPr>
        <w:pStyle w:val="Heading2"/>
      </w:pPr>
      <w:r>
        <w:t>How to complete this worksheet</w:t>
      </w:r>
    </w:p>
    <w:p>
      <w:r>
        <w:rPr>
          <w:b w:val="0"/>
        </w:rPr>
        <w:t>Use Not assessed / In progress / Blocked / Pass. Leave boxes unchecked until evidence is recorded. Document any item-level N/A with a reason and reviewer; do not silently skip a gate.</w:t>
      </w:r>
    </w:p>
    <w:p>
      <w:r>
        <w:rPr>
          <w:b w:val="0"/>
        </w:rPr>
        <w:t>For each completed item, record an evidence ID or attachment/link and a checked date. Keep passwords, tokens, and other secrets in the approved secret store—not in this packet.</w:t>
      </w:r>
    </w:p>
    <w:p>
      <w:r>
        <w:rPr>
          <w:b w:val="0"/>
        </w:rPr>
        <w:t>A lab rehearsal is useful process evidence, not proof that the production environment is ready.[1]</w:t>
      </w:r>
    </w:p>
    <w:p>
      <w:r>
        <w:rPr>
          <w:b w:val="0"/>
          <w:color w:val="536573"/>
          <w:sz w:val="17"/>
        </w:rPr>
        <w:t>Owner, status, stop-condition, approval, and evidence-index fields are worksheet controls added to the source article; they are not quoted vendor requirements.</w:t>
      </w:r>
    </w:p>
    <w:p>
      <w:r>
        <w:br w:type="page"/>
      </w:r>
    </w:p>
    <w:p>
      <w:pPr>
        <w:pStyle w:val="Heading1"/>
      </w:pPr>
      <w:r>
        <w:t>GATE 1  /  Prove the upgrade path</w:t>
      </w:r>
    </w:p>
    <w:p>
      <w:r>
        <w:rPr>
          <w:b w:val="0"/>
        </w:rPr>
        <w:t>Decide against exact component builds, not a generic VCF version label.[1]</w:t>
      </w:r>
    </w:p>
    <w:p>
      <w:r>
        <w:rPr>
          <w:b w:val="0"/>
          <w:color w:val="536573"/>
          <w:sz w:val="17"/>
        </w:rPr>
        <w:t>Change ID: ____________________    Target build: ____________________</w:t>
      </w:r>
    </w:p>
    <w:p>
      <w:r>
        <w:rPr>
          <w:b w:val="0"/>
        </w:rPr>
        <w:t>Owner: ________________________    Reviewer / date: ________________________</w:t>
      </w:r>
    </w:p>
    <w:p>
      <w:r>
        <w:rPr>
          <w:b w:val="0"/>
          <w:color w:val="536573"/>
          <w:sz w:val="17"/>
        </w:rPr>
        <w:t>Status:  Not assessed / In progress / Blocked / Pass</w:t>
      </w:r>
    </w:p>
    <w:p>
      <w:pPr>
        <w:ind w:left="274" w:hanging="274"/>
      </w:pPr>
      <w:r>
        <w:rPr>
          <w:rFonts w:ascii="DejaVu Sans" w:hAnsi="DejaVu Sans"/>
        </w:rPr>
        <w:t xml:space="preserve">☐ </w:t>
      </w:r>
      <w:r>
        <w:t>Record every deployed component and domain, with exact source versions/builds and intended target versions/builds.[1]</w:t>
      </w:r>
    </w:p>
    <w:p>
      <w:pPr>
        <w:ind w:left="274" w:hanging="274"/>
      </w:pPr>
      <w:r>
        <w:rPr>
          <w:rFonts w:ascii="DejaVu Sans" w:hAnsi="DejaVu Sans"/>
        </w:rPr>
        <w:t xml:space="preserve">☐ </w:t>
      </w:r>
      <w:r>
        <w:t>Validate the supported upgrade path and interoperability for each applicable source/target combination; save dated references.[1]</w:t>
      </w:r>
    </w:p>
    <w:p>
      <w:pPr>
        <w:ind w:left="274" w:hanging="274"/>
      </w:pPr>
      <w:r>
        <w:rPr>
          <w:rFonts w:ascii="DejaVu Sans" w:hAnsi="DejaVu Sans"/>
        </w:rPr>
        <w:t xml:space="preserve">☐ </w:t>
      </w:r>
      <w:r>
        <w:t>Check forward-only release-date validation for the entire source bill of materials, including vCenter and ESX.[1]</w:t>
      </w:r>
    </w:p>
    <w:p>
      <w:pPr>
        <w:ind w:left="274" w:hanging="274"/>
      </w:pPr>
      <w:r>
        <w:rPr>
          <w:rFonts w:ascii="DejaVu Sans" w:hAnsi="DejaVu Sans"/>
        </w:rPr>
        <w:t xml:space="preserve">☐ </w:t>
      </w:r>
      <w:r>
        <w:t>Use the VCF Upgrade Planning Tool to structure the phases, then validate the exported plan against documentation for the exact target.[1]</w:t>
      </w:r>
    </w:p>
    <w:p>
      <w:pPr>
        <w:ind w:left="274" w:hanging="274"/>
      </w:pPr>
      <w:r>
        <w:rPr>
          <w:rFonts w:ascii="DejaVu Sans" w:hAnsi="DejaVu Sans"/>
        </w:rPr>
        <w:t xml:space="preserve">☐ </w:t>
      </w:r>
      <w:r>
        <w:t>Resolve every unsupported combination, unknown build, and applicable conditional component before passing this gate.[1]</w:t>
      </w:r>
    </w:p>
    <w:p>
      <w:pPr>
        <w:pStyle w:val="Heading2"/>
      </w:pPr>
      <w:r>
        <w:t>Inventory / compatibility evidence — attach the full inventory if needed</w:t>
      </w:r>
    </w:p>
    <w:tbl>
      <w:tblPr>
        <w:tblStyle w:val="TableGrid"/>
        <w:tblW w:type="auto" w:w="0"/>
        <w:jc w:val="center"/>
        <w:tblLayout w:type="fixed"/>
        <w:tblLook w:firstColumn="1" w:firstRow="1" w:lastColumn="0" w:lastRow="0" w:noHBand="0" w:noVBand="1" w:val="04A0"/>
      </w:tblPr>
      <w:tblGrid>
        <w:gridCol w:w="3058"/>
        <w:gridCol w:w="2294"/>
        <w:gridCol w:w="2294"/>
        <w:gridCol w:w="2867"/>
      </w:tblGrid>
      <w:tr>
        <w:trPr>
          <w:tblHeader/>
          <w:cantSplit/>
        </w:trPr>
        <w:tc>
          <w:tcPr>
            <w:tcW w:type="dxa" w:w="3058"/>
            <w:shd w:fill="147D92"/>
            <w:vAlign w:val="center"/>
          </w:tcPr>
          <w:p>
            <w:pPr>
              <w:spacing w:before="40" w:after="40" w:line="240" w:lineRule="auto"/>
            </w:pPr>
            <w:r>
              <w:rPr>
                <w:b/>
                <w:color w:val="FFFFFF"/>
                <w:sz w:val="17"/>
              </w:rPr>
              <w:t>Component / domain</w:t>
            </w:r>
          </w:p>
        </w:tc>
        <w:tc>
          <w:tcPr>
            <w:tcW w:type="dxa" w:w="2294"/>
            <w:shd w:fill="147D92"/>
            <w:vAlign w:val="center"/>
          </w:tcPr>
          <w:p>
            <w:pPr>
              <w:spacing w:before="40" w:after="40" w:line="240" w:lineRule="auto"/>
            </w:pPr>
            <w:r>
              <w:rPr>
                <w:b/>
                <w:color w:val="FFFFFF"/>
                <w:sz w:val="17"/>
              </w:rPr>
              <w:t>Source version + build</w:t>
            </w:r>
          </w:p>
        </w:tc>
        <w:tc>
          <w:tcPr>
            <w:tcW w:type="dxa" w:w="2294"/>
            <w:shd w:fill="147D92"/>
            <w:vAlign w:val="center"/>
          </w:tcPr>
          <w:p>
            <w:pPr>
              <w:spacing w:before="40" w:after="40" w:line="240" w:lineRule="auto"/>
            </w:pPr>
            <w:r>
              <w:rPr>
                <w:b/>
                <w:color w:val="FFFFFF"/>
                <w:sz w:val="17"/>
              </w:rPr>
              <w:t>Target version + build</w:t>
            </w:r>
          </w:p>
        </w:tc>
        <w:tc>
          <w:tcPr>
            <w:tcW w:type="dxa" w:w="2867"/>
            <w:shd w:fill="147D92"/>
            <w:vAlign w:val="center"/>
          </w:tcPr>
          <w:p>
            <w:pPr>
              <w:spacing w:before="40" w:after="40" w:line="240" w:lineRule="auto"/>
            </w:pPr>
            <w:r>
              <w:rPr>
                <w:b/>
                <w:color w:val="FFFFFF"/>
                <w:sz w:val="17"/>
              </w:rPr>
              <w:t>Dated path / interop evidence ID</w:t>
            </w:r>
          </w:p>
        </w:tc>
      </w:tr>
      <w:tr>
        <w:trPr>
          <w:trHeight w:val="418" w:hRule="atLeast"/>
          <w:cantSplit/>
        </w:trPr>
        <w:tc>
          <w:tcPr>
            <w:tcW w:type="dxa" w:w="3058"/>
            <w:vAlign w:val="center"/>
          </w:tcPr>
          <w:p>
            <w:pPr>
              <w:spacing w:before="40" w:after="40" w:line="240" w:lineRule="auto"/>
            </w:pPr>
            <w:r>
              <w:rPr>
                <w:sz w:val="17"/>
              </w:rPr>
              <w:t>VCF / domains</w:t>
            </w:r>
          </w:p>
        </w:tc>
        <w:tc>
          <w:tcPr>
            <w:tcW w:type="dxa" w:w="2294"/>
            <w:vAlign w:val="center"/>
          </w:tcPr>
          <w:p>
            <w:pPr>
              <w:spacing w:before="40" w:after="40" w:line="240" w:lineRule="auto"/>
            </w:pPr>
            <w:r>
              <w:rPr>
                <w:sz w:val="17"/>
              </w:rPr>
            </w:r>
          </w:p>
        </w:tc>
        <w:tc>
          <w:tcPr>
            <w:tcW w:type="dxa" w:w="2294"/>
            <w:vAlign w:val="center"/>
          </w:tcPr>
          <w:p>
            <w:pPr>
              <w:spacing w:before="40" w:after="40" w:line="240" w:lineRule="auto"/>
            </w:pPr>
            <w:r>
              <w:rPr>
                <w:sz w:val="17"/>
              </w:rPr>
            </w:r>
          </w:p>
        </w:tc>
        <w:tc>
          <w:tcPr>
            <w:tcW w:type="dxa" w:w="2867"/>
            <w:vAlign w:val="center"/>
          </w:tcPr>
          <w:p>
            <w:pPr>
              <w:spacing w:before="40" w:after="40" w:line="240" w:lineRule="auto"/>
            </w:pPr>
            <w:r>
              <w:rPr>
                <w:sz w:val="17"/>
              </w:rPr>
            </w:r>
          </w:p>
        </w:tc>
      </w:tr>
      <w:tr>
        <w:trPr>
          <w:trHeight w:val="418" w:hRule="atLeast"/>
          <w:cantSplit/>
        </w:trPr>
        <w:tc>
          <w:tcPr>
            <w:tcW w:type="dxa" w:w="3058"/>
            <w:vAlign w:val="center"/>
          </w:tcPr>
          <w:p>
            <w:pPr>
              <w:spacing w:before="40" w:after="40" w:line="240" w:lineRule="auto"/>
            </w:pPr>
            <w:r>
              <w:rPr>
                <w:sz w:val="17"/>
              </w:rPr>
              <w:t>VCF Operations / cloud proxy</w:t>
            </w:r>
          </w:p>
        </w:tc>
        <w:tc>
          <w:tcPr>
            <w:tcW w:type="dxa" w:w="2294"/>
            <w:vAlign w:val="center"/>
          </w:tcPr>
          <w:p>
            <w:pPr>
              <w:spacing w:before="40" w:after="40" w:line="240" w:lineRule="auto"/>
            </w:pPr>
            <w:r>
              <w:rPr>
                <w:sz w:val="17"/>
              </w:rPr>
            </w:r>
          </w:p>
        </w:tc>
        <w:tc>
          <w:tcPr>
            <w:tcW w:type="dxa" w:w="2294"/>
            <w:vAlign w:val="center"/>
          </w:tcPr>
          <w:p>
            <w:pPr>
              <w:spacing w:before="40" w:after="40" w:line="240" w:lineRule="auto"/>
            </w:pPr>
            <w:r>
              <w:rPr>
                <w:sz w:val="17"/>
              </w:rPr>
            </w:r>
          </w:p>
        </w:tc>
        <w:tc>
          <w:tcPr>
            <w:tcW w:type="dxa" w:w="2867"/>
            <w:vAlign w:val="center"/>
          </w:tcPr>
          <w:p>
            <w:pPr>
              <w:spacing w:before="40" w:after="40" w:line="240" w:lineRule="auto"/>
            </w:pPr>
            <w:r>
              <w:rPr>
                <w:sz w:val="17"/>
              </w:rPr>
            </w:r>
          </w:p>
        </w:tc>
      </w:tr>
      <w:tr>
        <w:trPr>
          <w:trHeight w:val="418" w:hRule="atLeast"/>
          <w:cantSplit/>
        </w:trPr>
        <w:tc>
          <w:tcPr>
            <w:tcW w:type="dxa" w:w="3058"/>
            <w:vAlign w:val="center"/>
          </w:tcPr>
          <w:p>
            <w:pPr>
              <w:spacing w:before="40" w:after="40" w:line="240" w:lineRule="auto"/>
            </w:pPr>
            <w:r>
              <w:rPr>
                <w:sz w:val="17"/>
              </w:rPr>
              <w:t>SDDC Manager</w:t>
            </w:r>
          </w:p>
        </w:tc>
        <w:tc>
          <w:tcPr>
            <w:tcW w:type="dxa" w:w="2294"/>
            <w:vAlign w:val="center"/>
          </w:tcPr>
          <w:p>
            <w:pPr>
              <w:spacing w:before="40" w:after="40" w:line="240" w:lineRule="auto"/>
            </w:pPr>
            <w:r>
              <w:rPr>
                <w:sz w:val="17"/>
              </w:rPr>
            </w:r>
          </w:p>
        </w:tc>
        <w:tc>
          <w:tcPr>
            <w:tcW w:type="dxa" w:w="2294"/>
            <w:vAlign w:val="center"/>
          </w:tcPr>
          <w:p>
            <w:pPr>
              <w:spacing w:before="40" w:after="40" w:line="240" w:lineRule="auto"/>
            </w:pPr>
            <w:r>
              <w:rPr>
                <w:sz w:val="17"/>
              </w:rPr>
            </w:r>
          </w:p>
        </w:tc>
        <w:tc>
          <w:tcPr>
            <w:tcW w:type="dxa" w:w="2867"/>
            <w:vAlign w:val="center"/>
          </w:tcPr>
          <w:p>
            <w:pPr>
              <w:spacing w:before="40" w:after="40" w:line="240" w:lineRule="auto"/>
            </w:pPr>
            <w:r>
              <w:rPr>
                <w:sz w:val="17"/>
              </w:rPr>
            </w:r>
          </w:p>
        </w:tc>
      </w:tr>
      <w:tr>
        <w:trPr>
          <w:trHeight w:val="418" w:hRule="atLeast"/>
          <w:cantSplit/>
        </w:trPr>
        <w:tc>
          <w:tcPr>
            <w:tcW w:type="dxa" w:w="3058"/>
            <w:vAlign w:val="center"/>
          </w:tcPr>
          <w:p>
            <w:pPr>
              <w:spacing w:before="40" w:after="40" w:line="240" w:lineRule="auto"/>
            </w:pPr>
            <w:r>
              <w:rPr>
                <w:sz w:val="17"/>
              </w:rPr>
              <w:t>NSX Managers / Edges</w:t>
            </w:r>
          </w:p>
        </w:tc>
        <w:tc>
          <w:tcPr>
            <w:tcW w:type="dxa" w:w="2294"/>
            <w:vAlign w:val="center"/>
          </w:tcPr>
          <w:p>
            <w:pPr>
              <w:spacing w:before="40" w:after="40" w:line="240" w:lineRule="auto"/>
            </w:pPr>
            <w:r>
              <w:rPr>
                <w:sz w:val="17"/>
              </w:rPr>
            </w:r>
          </w:p>
        </w:tc>
        <w:tc>
          <w:tcPr>
            <w:tcW w:type="dxa" w:w="2294"/>
            <w:vAlign w:val="center"/>
          </w:tcPr>
          <w:p>
            <w:pPr>
              <w:spacing w:before="40" w:after="40" w:line="240" w:lineRule="auto"/>
            </w:pPr>
            <w:r>
              <w:rPr>
                <w:sz w:val="17"/>
              </w:rPr>
            </w:r>
          </w:p>
        </w:tc>
        <w:tc>
          <w:tcPr>
            <w:tcW w:type="dxa" w:w="2867"/>
            <w:vAlign w:val="center"/>
          </w:tcPr>
          <w:p>
            <w:pPr>
              <w:spacing w:before="40" w:after="40" w:line="240" w:lineRule="auto"/>
            </w:pPr>
            <w:r>
              <w:rPr>
                <w:sz w:val="17"/>
              </w:rPr>
            </w:r>
          </w:p>
        </w:tc>
      </w:tr>
      <w:tr>
        <w:trPr>
          <w:trHeight w:val="418" w:hRule="atLeast"/>
          <w:cantSplit/>
        </w:trPr>
        <w:tc>
          <w:tcPr>
            <w:tcW w:type="dxa" w:w="3058"/>
            <w:vAlign w:val="center"/>
          </w:tcPr>
          <w:p>
            <w:pPr>
              <w:spacing w:before="40" w:after="40" w:line="240" w:lineRule="auto"/>
            </w:pPr>
            <w:r>
              <w:rPr>
                <w:sz w:val="17"/>
              </w:rPr>
              <w:t>vCenter / ESX</w:t>
            </w:r>
          </w:p>
        </w:tc>
        <w:tc>
          <w:tcPr>
            <w:tcW w:type="dxa" w:w="2294"/>
            <w:vAlign w:val="center"/>
          </w:tcPr>
          <w:p>
            <w:pPr>
              <w:spacing w:before="40" w:after="40" w:line="240" w:lineRule="auto"/>
            </w:pPr>
            <w:r>
              <w:rPr>
                <w:sz w:val="17"/>
              </w:rPr>
            </w:r>
          </w:p>
        </w:tc>
        <w:tc>
          <w:tcPr>
            <w:tcW w:type="dxa" w:w="2294"/>
            <w:vAlign w:val="center"/>
          </w:tcPr>
          <w:p>
            <w:pPr>
              <w:spacing w:before="40" w:after="40" w:line="240" w:lineRule="auto"/>
            </w:pPr>
            <w:r>
              <w:rPr>
                <w:sz w:val="17"/>
              </w:rPr>
            </w:r>
          </w:p>
        </w:tc>
        <w:tc>
          <w:tcPr>
            <w:tcW w:type="dxa" w:w="2867"/>
            <w:vAlign w:val="center"/>
          </w:tcPr>
          <w:p>
            <w:pPr>
              <w:spacing w:before="40" w:after="40" w:line="240" w:lineRule="auto"/>
            </w:pPr>
            <w:r>
              <w:rPr>
                <w:sz w:val="17"/>
              </w:rPr>
            </w:r>
          </w:p>
        </w:tc>
      </w:tr>
      <w:tr>
        <w:trPr>
          <w:trHeight w:val="418" w:hRule="atLeast"/>
          <w:cantSplit/>
        </w:trPr>
        <w:tc>
          <w:tcPr>
            <w:tcW w:type="dxa" w:w="3058"/>
            <w:vAlign w:val="center"/>
          </w:tcPr>
          <w:p>
            <w:pPr>
              <w:spacing w:before="40" w:after="40" w:line="240" w:lineRule="auto"/>
            </w:pPr>
            <w:r>
              <w:rPr>
                <w:sz w:val="17"/>
              </w:rPr>
              <w:t>Other applicable components</w:t>
            </w:r>
          </w:p>
        </w:tc>
        <w:tc>
          <w:tcPr>
            <w:tcW w:type="dxa" w:w="2294"/>
            <w:vAlign w:val="center"/>
          </w:tcPr>
          <w:p>
            <w:pPr>
              <w:spacing w:before="40" w:after="40" w:line="240" w:lineRule="auto"/>
            </w:pPr>
            <w:r>
              <w:rPr>
                <w:sz w:val="17"/>
              </w:rPr>
            </w:r>
          </w:p>
        </w:tc>
        <w:tc>
          <w:tcPr>
            <w:tcW w:type="dxa" w:w="2294"/>
            <w:vAlign w:val="center"/>
          </w:tcPr>
          <w:p>
            <w:pPr>
              <w:spacing w:before="40" w:after="40" w:line="240" w:lineRule="auto"/>
            </w:pPr>
            <w:r>
              <w:rPr>
                <w:sz w:val="17"/>
              </w:rPr>
            </w:r>
          </w:p>
        </w:tc>
        <w:tc>
          <w:tcPr>
            <w:tcW w:type="dxa" w:w="2867"/>
            <w:vAlign w:val="center"/>
          </w:tcPr>
          <w:p>
            <w:pPr>
              <w:spacing w:before="40" w:after="40" w:line="240" w:lineRule="auto"/>
            </w:pPr>
            <w:r>
              <w:rPr>
                <w:sz w:val="17"/>
              </w:rPr>
            </w:r>
          </w:p>
        </w:tc>
      </w:tr>
    </w:tbl>
    <w:p>
      <w:pPr>
        <w:spacing w:after="0"/>
      </w:pPr>
    </w:p>
    <w:p>
      <w:r>
        <w:rPr>
          <w:b w:val="0"/>
        </w:rPr>
        <w:t>Evidence references / checked dates: ____________________________________________________________</w:t>
      </w:r>
    </w:p>
    <w:tbl>
      <w:tblPr>
        <w:tblW w:type="auto" w:w="0"/>
        <w:tblLook w:firstColumn="1" w:firstRow="1" w:lastColumn="0" w:lastRow="0" w:noHBand="0" w:noVBand="1" w:val="04A0"/>
      </w:tblPr>
      <w:tblGrid>
        <w:gridCol w:w="10512"/>
      </w:tblGrid>
      <w:tr>
        <w:tc>
          <w:tcPr>
            <w:tcW w:type="dxa" w:w="10512"/>
            <w:shd w:fill="EDF5F7"/>
          </w:tcPr>
          <w:p>
            <w:pPr>
              <w:spacing w:before="80" w:after="80"/>
            </w:pPr>
            <w:r>
              <w:rPr>
                <w:b/>
                <w:color w:val="147D92"/>
              </w:rPr>
              <w:t xml:space="preserve">PASS WHEN  </w:t>
            </w:r>
            <w:r>
              <w:t>The documented path is supported for this specific environment, and the reviewer can explain why.[1]</w:t>
            </w:r>
          </w:p>
        </w:tc>
      </w:tr>
    </w:tbl>
    <w:p>
      <w:r>
        <w:rPr>
          <w:b w:val="0"/>
          <w:color w:val="536573"/>
          <w:sz w:val="17"/>
        </w:rPr>
        <w:t>STOP / HOLD: Unknown or unsupported source/target combination; missing build inventory; unresolved interoperability or release-date conflict.</w:t>
      </w:r>
    </w:p>
    <w:p>
      <w:r>
        <w:rPr>
          <w:b w:val="0"/>
        </w:rPr>
        <w:t>Additional stop conditions / unresolved blockers: ____________________________________________________________</w:t>
      </w:r>
    </w:p>
    <w:p>
      <w:r>
        <w:br w:type="page"/>
      </w:r>
    </w:p>
    <w:p>
      <w:pPr>
        <w:pStyle w:val="Heading1"/>
      </w:pPr>
      <w:r>
        <w:t>GATE 2  /  Validate the management network</w:t>
      </w:r>
    </w:p>
    <w:p>
      <w:r>
        <w:rPr>
          <w:b w:val="0"/>
        </w:rPr>
        <w:t>Review the runtime pool, service addresses, DNS, and internal CIDR as one allocation.[1]</w:t>
      </w:r>
    </w:p>
    <w:p>
      <w:r>
        <w:rPr>
          <w:b w:val="0"/>
          <w:color w:val="536573"/>
          <w:sz w:val="17"/>
        </w:rPr>
        <w:t>Change ID: ____________________    Target build: ____________________</w:t>
      </w:r>
    </w:p>
    <w:p>
      <w:r>
        <w:rPr>
          <w:b w:val="0"/>
        </w:rPr>
        <w:t>Owner: ________________________    Reviewer / date: ________________________</w:t>
      </w:r>
    </w:p>
    <w:p>
      <w:r>
        <w:rPr>
          <w:b w:val="0"/>
          <w:color w:val="536573"/>
          <w:sz w:val="17"/>
        </w:rPr>
        <w:t>Status:  Not assessed / In progress / Blocked / Pass</w:t>
      </w:r>
    </w:p>
    <w:p>
      <w:pPr>
        <w:ind w:left="274" w:hanging="274"/>
      </w:pPr>
      <w:r>
        <w:rPr>
          <w:rFonts w:ascii="DejaVu Sans" w:hAnsi="DejaVu Sans"/>
        </w:rPr>
        <w:t xml:space="preserve">☐ </w:t>
      </w:r>
      <w:r>
        <w:t>Reserve the services runtime pool: the article identifies a 12-address minimum (/28) and recommends 30 (/27). Verify the exact target requirements.[1]</w:t>
      </w:r>
    </w:p>
    <w:p>
      <w:pPr>
        <w:ind w:left="274" w:hanging="274"/>
      </w:pPr>
      <w:r>
        <w:rPr>
          <w:rFonts w:ascii="DejaVu Sans" w:hAnsi="DejaVu Sans"/>
        </w:rPr>
        <w:t xml:space="preserve">☐ </w:t>
      </w:r>
      <w:r>
        <w:t>Reserve up to five unique, unused service IPs outside that pool but on the same network, one FQDN for each role below. The Identity Broker FQDN applies only if you do not already have an appliance-mode broker deployed.[1]</w:t>
      </w:r>
    </w:p>
    <w:p>
      <w:pPr>
        <w:ind w:left="274" w:hanging="274"/>
      </w:pPr>
      <w:r>
        <w:rPr>
          <w:rFonts w:ascii="DejaVu Sans" w:hAnsi="DejaVu Sans"/>
        </w:rPr>
        <w:t xml:space="preserve">☐ </w:t>
      </w:r>
      <w:r>
        <w:t>Verify DNS resolution and naming: lowercase FQDNs and no .local. Test your own domain in the deployment validation step before you commit to it.[1]</w:t>
      </w:r>
    </w:p>
    <w:p>
      <w:pPr>
        <w:ind w:left="274" w:hanging="274"/>
      </w:pPr>
      <w:r>
        <w:rPr>
          <w:rFonts w:ascii="DejaVu Sans" w:hAnsi="DejaVu Sans"/>
        </w:rPr>
        <w:t xml:space="preserve">☐ </w:t>
      </w:r>
      <w:r>
        <w:t>Check internal-CIDR overlap against management, VM, and pool networks. Document the selected range and routing evidence.[1]</w:t>
      </w:r>
    </w:p>
    <w:p>
      <w:pPr>
        <w:ind w:left="274" w:hanging="274"/>
      </w:pPr>
      <w:r>
        <w:rPr>
          <w:rFonts w:ascii="DejaVu Sans" w:hAnsi="DejaVu Sans"/>
        </w:rPr>
        <w:t xml:space="preserve">☐ </w:t>
      </w:r>
      <w:r>
        <w:t>Match the allocation syntax, deployment network, and UI/API workflow to the exact target build; have the network owner review the worksheet.[1]</w:t>
      </w:r>
    </w:p>
    <w:p>
      <w:r>
        <w:rPr>
          <w:b w:val="0"/>
          <w:color w:val="536573"/>
          <w:sz w:val="17"/>
        </w:rPr>
        <w:t>Version checkpoints from the article: 9.1.0.0–9.1.0.300 uses strict CIDR in the UI; 9.1.0.400 adds exclusions/lists; 9.1.1 adds UI selection of deployment network/internal CIDR. Default internal range: 198.18.0.0/15; documented alternatives: 240.0.0.0/15 and 250.0.0.0/15. Revalidate before use.[1]</w:t>
      </w:r>
    </w:p>
    <w:p>
      <w:r>
        <w:rPr>
          <w:b w:val="0"/>
          <w:color w:val="536573"/>
          <w:sz w:val="17"/>
        </w:rPr>
        <w:t>Network/VLAN + mask/gateway: ______________________________________________</w:t>
      </w:r>
    </w:p>
    <w:p>
      <w:r>
        <w:rPr>
          <w:b w:val="0"/>
          <w:color w:val="536573"/>
          <w:sz w:val="17"/>
        </w:rPr>
        <w:t>Runtime pool / exclusions / capacity: __________________________________________</w:t>
      </w:r>
    </w:p>
    <w:p>
      <w:r>
        <w:rPr>
          <w:b w:val="0"/>
          <w:color w:val="536573"/>
          <w:sz w:val="17"/>
        </w:rPr>
        <w:t>Internal CIDR + overlap proof / UI or API method: ________________________________</w:t>
      </w:r>
    </w:p>
    <w:p>
      <w:pPr>
        <w:pStyle w:val="Heading2"/>
      </w:pPr>
      <w:r>
        <w:t>Service addresses — separate from the runtime pool</w:t>
      </w:r>
    </w:p>
    <w:tbl>
      <w:tblPr>
        <w:tblStyle w:val="TableGrid"/>
        <w:tblW w:type="auto" w:w="0"/>
        <w:jc w:val="center"/>
        <w:tblLayout w:type="fixed"/>
        <w:tblLook w:firstColumn="1" w:firstRow="1" w:lastColumn="0" w:lastRow="0" w:noHBand="0" w:noVBand="1" w:val="04A0"/>
      </w:tblPr>
      <w:tblGrid>
        <w:gridCol w:w="2867"/>
        <w:gridCol w:w="3249"/>
        <w:gridCol w:w="2102"/>
        <w:gridCol w:w="2294"/>
      </w:tblGrid>
      <w:tr>
        <w:trPr>
          <w:tblHeader/>
          <w:cantSplit/>
        </w:trPr>
        <w:tc>
          <w:tcPr>
            <w:tcW w:type="dxa" w:w="2867"/>
            <w:shd w:fill="147D92"/>
            <w:vAlign w:val="center"/>
          </w:tcPr>
          <w:p>
            <w:pPr>
              <w:spacing w:before="40" w:after="40" w:line="240" w:lineRule="auto"/>
            </w:pPr>
            <w:r>
              <w:rPr>
                <w:b/>
                <w:color w:val="FFFFFF"/>
                <w:sz w:val="17"/>
              </w:rPr>
              <w:t>Service role</w:t>
            </w:r>
          </w:p>
        </w:tc>
        <w:tc>
          <w:tcPr>
            <w:tcW w:type="dxa" w:w="3249"/>
            <w:shd w:fill="147D92"/>
            <w:vAlign w:val="center"/>
          </w:tcPr>
          <w:p>
            <w:pPr>
              <w:spacing w:before="40" w:after="40" w:line="240" w:lineRule="auto"/>
            </w:pPr>
            <w:r>
              <w:rPr>
                <w:b/>
                <w:color w:val="FFFFFF"/>
                <w:sz w:val="17"/>
              </w:rPr>
              <w:t>FQDN</w:t>
            </w:r>
          </w:p>
        </w:tc>
        <w:tc>
          <w:tcPr>
            <w:tcW w:type="dxa" w:w="2102"/>
            <w:shd w:fill="147D92"/>
            <w:vAlign w:val="center"/>
          </w:tcPr>
          <w:p>
            <w:pPr>
              <w:spacing w:before="40" w:after="40" w:line="240" w:lineRule="auto"/>
            </w:pPr>
            <w:r>
              <w:rPr>
                <w:b/>
                <w:color w:val="FFFFFF"/>
                <w:sz w:val="17"/>
              </w:rPr>
              <w:t>Reserved IP</w:t>
            </w:r>
          </w:p>
        </w:tc>
        <w:tc>
          <w:tcPr>
            <w:tcW w:type="dxa" w:w="2294"/>
            <w:shd w:fill="147D92"/>
            <w:vAlign w:val="center"/>
          </w:tcPr>
          <w:p>
            <w:pPr>
              <w:spacing w:before="40" w:after="40" w:line="240" w:lineRule="auto"/>
            </w:pPr>
            <w:r>
              <w:rPr>
                <w:b/>
                <w:color w:val="FFFFFF"/>
                <w:sz w:val="17"/>
              </w:rPr>
              <w:t>DNS evidence ID</w:t>
            </w:r>
          </w:p>
        </w:tc>
      </w:tr>
      <w:tr>
        <w:trPr>
          <w:trHeight w:val="418" w:hRule="atLeast"/>
          <w:cantSplit/>
        </w:trPr>
        <w:tc>
          <w:tcPr>
            <w:tcW w:type="dxa" w:w="2867"/>
            <w:vAlign w:val="center"/>
          </w:tcPr>
          <w:p>
            <w:pPr>
              <w:spacing w:before="40" w:after="40" w:line="240" w:lineRule="auto"/>
            </w:pPr>
            <w:r>
              <w:rPr>
                <w:sz w:val="17"/>
              </w:rPr>
              <w:t>Services runtime</w:t>
            </w:r>
          </w:p>
        </w:tc>
        <w:tc>
          <w:tcPr>
            <w:tcW w:type="dxa" w:w="3249"/>
            <w:vAlign w:val="center"/>
          </w:tcPr>
          <w:p>
            <w:pPr>
              <w:spacing w:before="40" w:after="40" w:line="240" w:lineRule="auto"/>
            </w:pPr>
            <w:r>
              <w:rPr>
                <w:sz w:val="17"/>
              </w:rPr>
            </w:r>
          </w:p>
        </w:tc>
        <w:tc>
          <w:tcPr>
            <w:tcW w:type="dxa" w:w="2102"/>
            <w:vAlign w:val="center"/>
          </w:tcPr>
          <w:p>
            <w:pPr>
              <w:spacing w:before="40" w:after="40" w:line="240" w:lineRule="auto"/>
            </w:pPr>
            <w:r>
              <w:rPr>
                <w:sz w:val="17"/>
              </w:rPr>
            </w:r>
          </w:p>
        </w:tc>
        <w:tc>
          <w:tcPr>
            <w:tcW w:type="dxa" w:w="2294"/>
            <w:vAlign w:val="center"/>
          </w:tcPr>
          <w:p>
            <w:pPr>
              <w:spacing w:before="40" w:after="40" w:line="240" w:lineRule="auto"/>
            </w:pPr>
            <w:r>
              <w:rPr>
                <w:sz w:val="17"/>
              </w:rPr>
            </w:r>
          </w:p>
        </w:tc>
      </w:tr>
      <w:tr>
        <w:trPr>
          <w:trHeight w:val="418" w:hRule="atLeast"/>
          <w:cantSplit/>
        </w:trPr>
        <w:tc>
          <w:tcPr>
            <w:tcW w:type="dxa" w:w="2867"/>
            <w:vAlign w:val="center"/>
          </w:tcPr>
          <w:p>
            <w:pPr>
              <w:spacing w:before="40" w:after="40" w:line="240" w:lineRule="auto"/>
            </w:pPr>
            <w:r>
              <w:rPr>
                <w:sz w:val="17"/>
              </w:rPr>
              <w:t>Fleet component</w:t>
            </w:r>
          </w:p>
        </w:tc>
        <w:tc>
          <w:tcPr>
            <w:tcW w:type="dxa" w:w="3249"/>
            <w:vAlign w:val="center"/>
          </w:tcPr>
          <w:p>
            <w:pPr>
              <w:spacing w:before="40" w:after="40" w:line="240" w:lineRule="auto"/>
            </w:pPr>
            <w:r>
              <w:rPr>
                <w:sz w:val="17"/>
              </w:rPr>
            </w:r>
          </w:p>
        </w:tc>
        <w:tc>
          <w:tcPr>
            <w:tcW w:type="dxa" w:w="2102"/>
            <w:vAlign w:val="center"/>
          </w:tcPr>
          <w:p>
            <w:pPr>
              <w:spacing w:before="40" w:after="40" w:line="240" w:lineRule="auto"/>
            </w:pPr>
            <w:r>
              <w:rPr>
                <w:sz w:val="17"/>
              </w:rPr>
            </w:r>
          </w:p>
        </w:tc>
        <w:tc>
          <w:tcPr>
            <w:tcW w:type="dxa" w:w="2294"/>
            <w:vAlign w:val="center"/>
          </w:tcPr>
          <w:p>
            <w:pPr>
              <w:spacing w:before="40" w:after="40" w:line="240" w:lineRule="auto"/>
            </w:pPr>
            <w:r>
              <w:rPr>
                <w:sz w:val="17"/>
              </w:rPr>
            </w:r>
          </w:p>
        </w:tc>
      </w:tr>
      <w:tr>
        <w:trPr>
          <w:trHeight w:val="418" w:hRule="atLeast"/>
          <w:cantSplit/>
        </w:trPr>
        <w:tc>
          <w:tcPr>
            <w:tcW w:type="dxa" w:w="2867"/>
            <w:vAlign w:val="center"/>
          </w:tcPr>
          <w:p>
            <w:pPr>
              <w:spacing w:before="40" w:after="40" w:line="240" w:lineRule="auto"/>
            </w:pPr>
            <w:r>
              <w:rPr>
                <w:sz w:val="17"/>
              </w:rPr>
              <w:t>Instance component</w:t>
            </w:r>
          </w:p>
        </w:tc>
        <w:tc>
          <w:tcPr>
            <w:tcW w:type="dxa" w:w="3249"/>
            <w:vAlign w:val="center"/>
          </w:tcPr>
          <w:p>
            <w:pPr>
              <w:spacing w:before="40" w:after="40" w:line="240" w:lineRule="auto"/>
            </w:pPr>
            <w:r>
              <w:rPr>
                <w:sz w:val="17"/>
              </w:rPr>
            </w:r>
          </w:p>
        </w:tc>
        <w:tc>
          <w:tcPr>
            <w:tcW w:type="dxa" w:w="2102"/>
            <w:vAlign w:val="center"/>
          </w:tcPr>
          <w:p>
            <w:pPr>
              <w:spacing w:before="40" w:after="40" w:line="240" w:lineRule="auto"/>
            </w:pPr>
            <w:r>
              <w:rPr>
                <w:sz w:val="17"/>
              </w:rPr>
            </w:r>
          </w:p>
        </w:tc>
        <w:tc>
          <w:tcPr>
            <w:tcW w:type="dxa" w:w="2294"/>
            <w:vAlign w:val="center"/>
          </w:tcPr>
          <w:p>
            <w:pPr>
              <w:spacing w:before="40" w:after="40" w:line="240" w:lineRule="auto"/>
            </w:pPr>
            <w:r>
              <w:rPr>
                <w:sz w:val="17"/>
              </w:rPr>
            </w:r>
          </w:p>
        </w:tc>
      </w:tr>
      <w:tr>
        <w:trPr>
          <w:trHeight w:val="418" w:hRule="atLeast"/>
          <w:cantSplit/>
        </w:trPr>
        <w:tc>
          <w:tcPr>
            <w:tcW w:type="dxa" w:w="2867"/>
            <w:vAlign w:val="center"/>
          </w:tcPr>
          <w:p>
            <w:pPr>
              <w:spacing w:before="40" w:after="40" w:line="240" w:lineRule="auto"/>
            </w:pPr>
            <w:r>
              <w:rPr>
                <w:sz w:val="17"/>
              </w:rPr>
              <w:t>Identity Broker (if not already deployed)</w:t>
            </w:r>
          </w:p>
        </w:tc>
        <w:tc>
          <w:tcPr>
            <w:tcW w:type="dxa" w:w="3249"/>
            <w:vAlign w:val="center"/>
          </w:tcPr>
          <w:p>
            <w:pPr>
              <w:spacing w:before="40" w:after="40" w:line="240" w:lineRule="auto"/>
            </w:pPr>
            <w:r>
              <w:rPr>
                <w:sz w:val="17"/>
              </w:rPr>
            </w:r>
          </w:p>
        </w:tc>
        <w:tc>
          <w:tcPr>
            <w:tcW w:type="dxa" w:w="2102"/>
            <w:vAlign w:val="center"/>
          </w:tcPr>
          <w:p>
            <w:pPr>
              <w:spacing w:before="40" w:after="40" w:line="240" w:lineRule="auto"/>
            </w:pPr>
            <w:r>
              <w:rPr>
                <w:sz w:val="17"/>
              </w:rPr>
            </w:r>
          </w:p>
        </w:tc>
        <w:tc>
          <w:tcPr>
            <w:tcW w:type="dxa" w:w="2294"/>
            <w:vAlign w:val="center"/>
          </w:tcPr>
          <w:p>
            <w:pPr>
              <w:spacing w:before="40" w:after="40" w:line="240" w:lineRule="auto"/>
            </w:pPr>
            <w:r>
              <w:rPr>
                <w:sz w:val="17"/>
              </w:rPr>
            </w:r>
          </w:p>
        </w:tc>
      </w:tr>
      <w:tr>
        <w:trPr>
          <w:trHeight w:val="418" w:hRule="atLeast"/>
          <w:cantSplit/>
        </w:trPr>
        <w:tc>
          <w:tcPr>
            <w:tcW w:type="dxa" w:w="2867"/>
            <w:vAlign w:val="center"/>
          </w:tcPr>
          <w:p>
            <w:pPr>
              <w:spacing w:before="40" w:after="40" w:line="240" w:lineRule="auto"/>
            </w:pPr>
            <w:r>
              <w:rPr>
                <w:sz w:val="17"/>
              </w:rPr>
              <w:t>License Server</w:t>
            </w:r>
          </w:p>
        </w:tc>
        <w:tc>
          <w:tcPr>
            <w:tcW w:type="dxa" w:w="3249"/>
            <w:vAlign w:val="center"/>
          </w:tcPr>
          <w:p>
            <w:pPr>
              <w:spacing w:before="40" w:after="40" w:line="240" w:lineRule="auto"/>
            </w:pPr>
            <w:r>
              <w:rPr>
                <w:sz w:val="17"/>
              </w:rPr>
            </w:r>
          </w:p>
        </w:tc>
        <w:tc>
          <w:tcPr>
            <w:tcW w:type="dxa" w:w="2102"/>
            <w:vAlign w:val="center"/>
          </w:tcPr>
          <w:p>
            <w:pPr>
              <w:spacing w:before="40" w:after="40" w:line="240" w:lineRule="auto"/>
            </w:pPr>
            <w:r>
              <w:rPr>
                <w:sz w:val="17"/>
              </w:rPr>
            </w:r>
          </w:p>
        </w:tc>
        <w:tc>
          <w:tcPr>
            <w:tcW w:type="dxa" w:w="2294"/>
            <w:vAlign w:val="center"/>
          </w:tcPr>
          <w:p>
            <w:pPr>
              <w:spacing w:before="40" w:after="40" w:line="240" w:lineRule="auto"/>
            </w:pPr>
            <w:r>
              <w:rPr>
                <w:sz w:val="17"/>
              </w:rPr>
            </w:r>
          </w:p>
        </w:tc>
      </w:tr>
    </w:tbl>
    <w:p>
      <w:pPr>
        <w:spacing w:after="0"/>
      </w:pPr>
    </w:p>
    <w:p>
      <w:r>
        <w:rPr>
          <w:b w:val="0"/>
        </w:rPr>
        <w:t>Evidence references / checked dates: ____________________________________________________________</w:t>
      </w:r>
    </w:p>
    <w:tbl>
      <w:tblPr>
        <w:tblW w:type="auto" w:w="0"/>
        <w:tblLook w:firstColumn="1" w:firstRow="1" w:lastColumn="0" w:lastRow="0" w:noHBand="0" w:noVBand="1" w:val="04A0"/>
      </w:tblPr>
      <w:tblGrid>
        <w:gridCol w:w="10512"/>
      </w:tblGrid>
      <w:tr>
        <w:tc>
          <w:tcPr>
            <w:tcW w:type="dxa" w:w="10512"/>
            <w:shd w:fill="EDF5F7"/>
          </w:tcPr>
          <w:p>
            <w:pPr>
              <w:spacing w:before="80" w:after="80"/>
            </w:pPr>
            <w:r>
              <w:rPr>
                <w:b/>
                <w:color w:val="147D92"/>
              </w:rPr>
              <w:t xml:space="preserve">PASS WHEN  </w:t>
            </w:r>
            <w:r>
              <w:t>The exact-target network worksheet is reviewed, including DNS, pool ranges, service addresses, and internal CIDR.[1]</w:t>
            </w:r>
          </w:p>
        </w:tc>
      </w:tr>
    </w:tbl>
    <w:p>
      <w:r>
        <w:rPr>
          <w:b w:val="0"/>
          <w:color w:val="536573"/>
          <w:sz w:val="17"/>
        </w:rPr>
        <w:t>STOP / HOLD: Address reuse/exhaustion, unresolved DNS, overlapping networks, or an allocation/workflow unsupported by the target build.</w:t>
      </w:r>
    </w:p>
    <w:p>
      <w:r>
        <w:rPr>
          <w:b w:val="0"/>
        </w:rPr>
        <w:t>Additional stop conditions / unresolved blockers: ____________________________________________________________</w:t>
      </w:r>
    </w:p>
    <w:p>
      <w:r>
        <w:br w:type="page"/>
      </w:r>
    </w:p>
    <w:p>
      <w:pPr>
        <w:pStyle w:val="Heading1"/>
      </w:pPr>
      <w:r>
        <w:t>GATE 3  /  Turn the sequence into owned work</w:t>
      </w:r>
    </w:p>
    <w:p>
      <w:r>
        <w:rPr>
          <w:b w:val="0"/>
        </w:rPr>
        <w:t>The worksheet supports the vendor sequence; it does not replace that runbook.[1]</w:t>
      </w:r>
    </w:p>
    <w:p>
      <w:r>
        <w:rPr>
          <w:b w:val="0"/>
          <w:color w:val="536573"/>
          <w:sz w:val="17"/>
        </w:rPr>
        <w:t>Change ID: ____________________    Target build: ____________________</w:t>
      </w:r>
    </w:p>
    <w:p>
      <w:r>
        <w:rPr>
          <w:b w:val="0"/>
        </w:rPr>
        <w:t>Owner: ________________________    Reviewer / date: ________________________</w:t>
      </w:r>
    </w:p>
    <w:p>
      <w:r>
        <w:rPr>
          <w:b w:val="0"/>
          <w:color w:val="536573"/>
          <w:sz w:val="17"/>
        </w:rPr>
        <w:t>Status:  Not assessed / In progress / Blocked / Pass</w:t>
      </w:r>
    </w:p>
    <w:p>
      <w:pPr>
        <w:ind w:left="274" w:hanging="274"/>
      </w:pPr>
      <w:r>
        <w:rPr>
          <w:rFonts w:ascii="DejaVu Sans" w:hAnsi="DejaVu Sans"/>
        </w:rPr>
        <w:t xml:space="preserve">☐ </w:t>
      </w:r>
      <w:r>
        <w:t>Attach the ordered upgrade procedure for the exact source/target. Include mandatory fleet-level and management-domain work, plus any deferred Day-N workload-domain work.[1]</w:t>
      </w:r>
    </w:p>
    <w:p>
      <w:pPr>
        <w:ind w:left="274" w:hanging="274"/>
      </w:pPr>
      <w:r>
        <w:rPr>
          <w:rFonts w:ascii="DejaVu Sans" w:hAnsi="DejaVu Sans"/>
        </w:rPr>
        <w:t xml:space="preserve">☐ </w:t>
      </w:r>
      <w:r>
        <w:t>Assign an executor and verifier, entry criteria, exit evidence, and a stop condition to every phase; include all conditional components.[1]</w:t>
      </w:r>
    </w:p>
    <w:p>
      <w:pPr>
        <w:ind w:left="274" w:hanging="274"/>
      </w:pPr>
      <w:r>
        <w:rPr>
          <w:rFonts w:ascii="DejaVu Sans" w:hAnsi="DejaVu Sans"/>
        </w:rPr>
        <w:t xml:space="preserve">☐ </w:t>
      </w:r>
      <w:r>
        <w:t>Before VCF Operations: assess appliance-mode Identity Broker 9.0.x placement. Redeploy first if it uses an NSX overlay or a different network/datastore from the planned management services.[1]</w:t>
      </w:r>
    </w:p>
    <w:p>
      <w:pPr>
        <w:ind w:left="274" w:hanging="274"/>
      </w:pPr>
      <w:r>
        <w:rPr>
          <w:rFonts w:ascii="DejaVu Sans" w:hAnsi="DejaVu Sans"/>
        </w:rPr>
        <w:t xml:space="preserve">☐ </w:t>
      </w:r>
      <w:r>
        <w:t>Confirm a cloud proxy exists in the instance hosting VCF Operations for the management-services deployment dependency.[1]</w:t>
      </w:r>
    </w:p>
    <w:p>
      <w:pPr>
        <w:ind w:left="274" w:hanging="274"/>
      </w:pPr>
      <w:r>
        <w:rPr>
          <w:rFonts w:ascii="DejaVu Sans" w:hAnsi="DejaVu Sans"/>
        </w:rPr>
        <w:t xml:space="preserve">☐ </w:t>
      </w:r>
      <w:r>
        <w:t>Plan the certificate/password-management gap after Operations reaches 9.1 until Automation, Identity Broker, Logs, and Networks are each upgraded. Schedule required rotations before or after that gap.[1]</w:t>
      </w:r>
    </w:p>
    <w:p>
      <w:pPr>
        <w:ind w:left="274" w:hanging="274"/>
      </w:pPr>
      <w:r>
        <w:rPr>
          <w:rFonts w:ascii="DejaVu Sans" w:hAnsi="DejaVu Sans"/>
        </w:rPr>
        <w:t xml:space="preserve">☐ </w:t>
      </w:r>
      <w:r>
        <w:t>Capture evidence for inventory, certificate, and service-account migration and automatic fleet-management-appliance decommission during the Operations upgrade.[1]</w:t>
      </w:r>
    </w:p>
    <w:p>
      <w:pPr>
        <w:pStyle w:val="Heading2"/>
      </w:pPr>
      <w:r>
        <w:t>Phase ownership — extend in the attached runbook; rows are not a prescribed order</w:t>
      </w:r>
    </w:p>
    <w:tbl>
      <w:tblPr>
        <w:tblStyle w:val="TableGrid"/>
        <w:tblW w:type="auto" w:w="0"/>
        <w:jc w:val="center"/>
        <w:tblLayout w:type="fixed"/>
        <w:tblLook w:firstColumn="1" w:firstRow="1" w:lastColumn="0" w:lastRow="0" w:noHBand="0" w:noVBand="1" w:val="04A0"/>
      </w:tblPr>
      <w:tblGrid>
        <w:gridCol w:w="2316"/>
        <w:gridCol w:w="2138"/>
        <w:gridCol w:w="1960"/>
        <w:gridCol w:w="1960"/>
        <w:gridCol w:w="2138"/>
      </w:tblGrid>
      <w:tr>
        <w:trPr>
          <w:tblHeader/>
          <w:cantSplit/>
        </w:trPr>
        <w:tc>
          <w:tcPr>
            <w:tcW w:type="dxa" w:w="2316"/>
            <w:shd w:fill="147D92"/>
            <w:vAlign w:val="center"/>
          </w:tcPr>
          <w:p>
            <w:pPr>
              <w:spacing w:before="40" w:after="40" w:line="240" w:lineRule="auto"/>
            </w:pPr>
            <w:r>
              <w:rPr>
                <w:b/>
                <w:color w:val="FFFFFF"/>
                <w:sz w:val="17"/>
              </w:rPr>
              <w:t>Phase / component</w:t>
            </w:r>
          </w:p>
        </w:tc>
        <w:tc>
          <w:tcPr>
            <w:tcW w:type="dxa" w:w="2138"/>
            <w:shd w:fill="147D92"/>
            <w:vAlign w:val="center"/>
          </w:tcPr>
          <w:p>
            <w:pPr>
              <w:spacing w:before="40" w:after="40" w:line="240" w:lineRule="auto"/>
            </w:pPr>
            <w:r>
              <w:rPr>
                <w:b/>
                <w:color w:val="FFFFFF"/>
                <w:sz w:val="17"/>
              </w:rPr>
              <w:t>Executor / verifier</w:t>
            </w:r>
          </w:p>
        </w:tc>
        <w:tc>
          <w:tcPr>
            <w:tcW w:type="dxa" w:w="1960"/>
            <w:shd w:fill="147D92"/>
            <w:vAlign w:val="center"/>
          </w:tcPr>
          <w:p>
            <w:pPr>
              <w:spacing w:before="40" w:after="40" w:line="240" w:lineRule="auto"/>
            </w:pPr>
            <w:r>
              <w:rPr>
                <w:b/>
                <w:color w:val="FFFFFF"/>
                <w:sz w:val="17"/>
              </w:rPr>
              <w:t>Entry criteria</w:t>
            </w:r>
          </w:p>
        </w:tc>
        <w:tc>
          <w:tcPr>
            <w:tcW w:type="dxa" w:w="1960"/>
            <w:shd w:fill="147D92"/>
            <w:vAlign w:val="center"/>
          </w:tcPr>
          <w:p>
            <w:pPr>
              <w:spacing w:before="40" w:after="40" w:line="240" w:lineRule="auto"/>
            </w:pPr>
            <w:r>
              <w:rPr>
                <w:b/>
                <w:color w:val="FFFFFF"/>
                <w:sz w:val="17"/>
              </w:rPr>
              <w:t>Exit evidence</w:t>
            </w:r>
          </w:p>
        </w:tc>
        <w:tc>
          <w:tcPr>
            <w:tcW w:type="dxa" w:w="2138"/>
            <w:shd w:fill="147D92"/>
            <w:vAlign w:val="center"/>
          </w:tcPr>
          <w:p>
            <w:pPr>
              <w:spacing w:before="40" w:after="40" w:line="240" w:lineRule="auto"/>
            </w:pPr>
            <w:r>
              <w:rPr>
                <w:b/>
                <w:color w:val="FFFFFF"/>
                <w:sz w:val="17"/>
              </w:rPr>
              <w:t>Stop condition</w:t>
            </w:r>
          </w:p>
        </w:tc>
      </w:tr>
      <w:tr>
        <w:trPr>
          <w:trHeight w:val="518" w:hRule="atLeast"/>
          <w:cantSplit/>
        </w:trPr>
        <w:tc>
          <w:tcPr>
            <w:tcW w:type="dxa" w:w="2316"/>
            <w:vAlign w:val="center"/>
          </w:tcPr>
          <w:p>
            <w:pPr>
              <w:spacing w:before="40" w:after="40" w:line="240" w:lineRule="auto"/>
            </w:pPr>
            <w:r>
              <w:rPr>
                <w:sz w:val="17"/>
              </w:rPr>
            </w:r>
          </w:p>
        </w:tc>
        <w:tc>
          <w:tcPr>
            <w:tcW w:type="dxa" w:w="2138"/>
            <w:vAlign w:val="center"/>
          </w:tcPr>
          <w:p>
            <w:pPr>
              <w:spacing w:before="40" w:after="40" w:line="240" w:lineRule="auto"/>
            </w:pPr>
            <w:r>
              <w:rPr>
                <w:sz w:val="17"/>
              </w:rPr>
            </w:r>
          </w:p>
        </w:tc>
        <w:tc>
          <w:tcPr>
            <w:tcW w:type="dxa" w:w="1960"/>
            <w:vAlign w:val="center"/>
          </w:tcPr>
          <w:p>
            <w:pPr>
              <w:spacing w:before="40" w:after="40" w:line="240" w:lineRule="auto"/>
            </w:pPr>
            <w:r>
              <w:rPr>
                <w:sz w:val="17"/>
              </w:rPr>
            </w:r>
          </w:p>
        </w:tc>
        <w:tc>
          <w:tcPr>
            <w:tcW w:type="dxa" w:w="1960"/>
            <w:vAlign w:val="center"/>
          </w:tcPr>
          <w:p>
            <w:pPr>
              <w:spacing w:before="40" w:after="40" w:line="240" w:lineRule="auto"/>
            </w:pPr>
            <w:r>
              <w:rPr>
                <w:sz w:val="17"/>
              </w:rPr>
            </w:r>
          </w:p>
        </w:tc>
        <w:tc>
          <w:tcPr>
            <w:tcW w:type="dxa" w:w="2138"/>
            <w:vAlign w:val="center"/>
          </w:tcPr>
          <w:p>
            <w:pPr>
              <w:spacing w:before="40" w:after="40" w:line="240" w:lineRule="auto"/>
            </w:pPr>
            <w:r>
              <w:rPr>
                <w:sz w:val="17"/>
              </w:rPr>
            </w:r>
          </w:p>
        </w:tc>
      </w:tr>
      <w:tr>
        <w:trPr>
          <w:trHeight w:val="518" w:hRule="atLeast"/>
          <w:cantSplit/>
        </w:trPr>
        <w:tc>
          <w:tcPr>
            <w:tcW w:type="dxa" w:w="2316"/>
            <w:vAlign w:val="center"/>
          </w:tcPr>
          <w:p>
            <w:pPr>
              <w:spacing w:before="40" w:after="40" w:line="240" w:lineRule="auto"/>
            </w:pPr>
            <w:r>
              <w:rPr>
                <w:sz w:val="17"/>
              </w:rPr>
            </w:r>
          </w:p>
        </w:tc>
        <w:tc>
          <w:tcPr>
            <w:tcW w:type="dxa" w:w="2138"/>
            <w:vAlign w:val="center"/>
          </w:tcPr>
          <w:p>
            <w:pPr>
              <w:spacing w:before="40" w:after="40" w:line="240" w:lineRule="auto"/>
            </w:pPr>
            <w:r>
              <w:rPr>
                <w:sz w:val="17"/>
              </w:rPr>
            </w:r>
          </w:p>
        </w:tc>
        <w:tc>
          <w:tcPr>
            <w:tcW w:type="dxa" w:w="1960"/>
            <w:vAlign w:val="center"/>
          </w:tcPr>
          <w:p>
            <w:pPr>
              <w:spacing w:before="40" w:after="40" w:line="240" w:lineRule="auto"/>
            </w:pPr>
            <w:r>
              <w:rPr>
                <w:sz w:val="17"/>
              </w:rPr>
            </w:r>
          </w:p>
        </w:tc>
        <w:tc>
          <w:tcPr>
            <w:tcW w:type="dxa" w:w="1960"/>
            <w:vAlign w:val="center"/>
          </w:tcPr>
          <w:p>
            <w:pPr>
              <w:spacing w:before="40" w:after="40" w:line="240" w:lineRule="auto"/>
            </w:pPr>
            <w:r>
              <w:rPr>
                <w:sz w:val="17"/>
              </w:rPr>
            </w:r>
          </w:p>
        </w:tc>
        <w:tc>
          <w:tcPr>
            <w:tcW w:type="dxa" w:w="2138"/>
            <w:vAlign w:val="center"/>
          </w:tcPr>
          <w:p>
            <w:pPr>
              <w:spacing w:before="40" w:after="40" w:line="240" w:lineRule="auto"/>
            </w:pPr>
            <w:r>
              <w:rPr>
                <w:sz w:val="17"/>
              </w:rPr>
            </w:r>
          </w:p>
        </w:tc>
      </w:tr>
      <w:tr>
        <w:trPr>
          <w:trHeight w:val="518" w:hRule="atLeast"/>
          <w:cantSplit/>
        </w:trPr>
        <w:tc>
          <w:tcPr>
            <w:tcW w:type="dxa" w:w="2316"/>
            <w:vAlign w:val="center"/>
          </w:tcPr>
          <w:p>
            <w:pPr>
              <w:spacing w:before="40" w:after="40" w:line="240" w:lineRule="auto"/>
            </w:pPr>
            <w:r>
              <w:rPr>
                <w:sz w:val="17"/>
              </w:rPr>
            </w:r>
          </w:p>
        </w:tc>
        <w:tc>
          <w:tcPr>
            <w:tcW w:type="dxa" w:w="2138"/>
            <w:vAlign w:val="center"/>
          </w:tcPr>
          <w:p>
            <w:pPr>
              <w:spacing w:before="40" w:after="40" w:line="240" w:lineRule="auto"/>
            </w:pPr>
            <w:r>
              <w:rPr>
                <w:sz w:val="17"/>
              </w:rPr>
            </w:r>
          </w:p>
        </w:tc>
        <w:tc>
          <w:tcPr>
            <w:tcW w:type="dxa" w:w="1960"/>
            <w:vAlign w:val="center"/>
          </w:tcPr>
          <w:p>
            <w:pPr>
              <w:spacing w:before="40" w:after="40" w:line="240" w:lineRule="auto"/>
            </w:pPr>
            <w:r>
              <w:rPr>
                <w:sz w:val="17"/>
              </w:rPr>
            </w:r>
          </w:p>
        </w:tc>
        <w:tc>
          <w:tcPr>
            <w:tcW w:type="dxa" w:w="1960"/>
            <w:vAlign w:val="center"/>
          </w:tcPr>
          <w:p>
            <w:pPr>
              <w:spacing w:before="40" w:after="40" w:line="240" w:lineRule="auto"/>
            </w:pPr>
            <w:r>
              <w:rPr>
                <w:sz w:val="17"/>
              </w:rPr>
            </w:r>
          </w:p>
        </w:tc>
        <w:tc>
          <w:tcPr>
            <w:tcW w:type="dxa" w:w="2138"/>
            <w:vAlign w:val="center"/>
          </w:tcPr>
          <w:p>
            <w:pPr>
              <w:spacing w:before="40" w:after="40" w:line="240" w:lineRule="auto"/>
            </w:pPr>
            <w:r>
              <w:rPr>
                <w:sz w:val="17"/>
              </w:rPr>
            </w:r>
          </w:p>
        </w:tc>
      </w:tr>
      <w:tr>
        <w:trPr>
          <w:trHeight w:val="518" w:hRule="atLeast"/>
          <w:cantSplit/>
        </w:trPr>
        <w:tc>
          <w:tcPr>
            <w:tcW w:type="dxa" w:w="2316"/>
            <w:vAlign w:val="center"/>
          </w:tcPr>
          <w:p>
            <w:pPr>
              <w:spacing w:before="40" w:after="40" w:line="240" w:lineRule="auto"/>
            </w:pPr>
            <w:r>
              <w:rPr>
                <w:sz w:val="17"/>
              </w:rPr>
            </w:r>
          </w:p>
        </w:tc>
        <w:tc>
          <w:tcPr>
            <w:tcW w:type="dxa" w:w="2138"/>
            <w:vAlign w:val="center"/>
          </w:tcPr>
          <w:p>
            <w:pPr>
              <w:spacing w:before="40" w:after="40" w:line="240" w:lineRule="auto"/>
            </w:pPr>
            <w:r>
              <w:rPr>
                <w:sz w:val="17"/>
              </w:rPr>
            </w:r>
          </w:p>
        </w:tc>
        <w:tc>
          <w:tcPr>
            <w:tcW w:type="dxa" w:w="1960"/>
            <w:vAlign w:val="center"/>
          </w:tcPr>
          <w:p>
            <w:pPr>
              <w:spacing w:before="40" w:after="40" w:line="240" w:lineRule="auto"/>
            </w:pPr>
            <w:r>
              <w:rPr>
                <w:sz w:val="17"/>
              </w:rPr>
            </w:r>
          </w:p>
        </w:tc>
        <w:tc>
          <w:tcPr>
            <w:tcW w:type="dxa" w:w="1960"/>
            <w:vAlign w:val="center"/>
          </w:tcPr>
          <w:p>
            <w:pPr>
              <w:spacing w:before="40" w:after="40" w:line="240" w:lineRule="auto"/>
            </w:pPr>
            <w:r>
              <w:rPr>
                <w:sz w:val="17"/>
              </w:rPr>
            </w:r>
          </w:p>
        </w:tc>
        <w:tc>
          <w:tcPr>
            <w:tcW w:type="dxa" w:w="2138"/>
            <w:vAlign w:val="center"/>
          </w:tcPr>
          <w:p>
            <w:pPr>
              <w:spacing w:before="40" w:after="40" w:line="240" w:lineRule="auto"/>
            </w:pPr>
            <w:r>
              <w:rPr>
                <w:sz w:val="17"/>
              </w:rPr>
            </w:r>
          </w:p>
        </w:tc>
      </w:tr>
      <w:tr>
        <w:trPr>
          <w:trHeight w:val="518" w:hRule="atLeast"/>
          <w:cantSplit/>
        </w:trPr>
        <w:tc>
          <w:tcPr>
            <w:tcW w:type="dxa" w:w="2316"/>
            <w:vAlign w:val="center"/>
          </w:tcPr>
          <w:p>
            <w:pPr>
              <w:spacing w:before="40" w:after="40" w:line="240" w:lineRule="auto"/>
            </w:pPr>
            <w:r>
              <w:rPr>
                <w:sz w:val="17"/>
              </w:rPr>
            </w:r>
          </w:p>
        </w:tc>
        <w:tc>
          <w:tcPr>
            <w:tcW w:type="dxa" w:w="2138"/>
            <w:vAlign w:val="center"/>
          </w:tcPr>
          <w:p>
            <w:pPr>
              <w:spacing w:before="40" w:after="40" w:line="240" w:lineRule="auto"/>
            </w:pPr>
            <w:r>
              <w:rPr>
                <w:sz w:val="17"/>
              </w:rPr>
            </w:r>
          </w:p>
        </w:tc>
        <w:tc>
          <w:tcPr>
            <w:tcW w:type="dxa" w:w="1960"/>
            <w:vAlign w:val="center"/>
          </w:tcPr>
          <w:p>
            <w:pPr>
              <w:spacing w:before="40" w:after="40" w:line="240" w:lineRule="auto"/>
            </w:pPr>
            <w:r>
              <w:rPr>
                <w:sz w:val="17"/>
              </w:rPr>
            </w:r>
          </w:p>
        </w:tc>
        <w:tc>
          <w:tcPr>
            <w:tcW w:type="dxa" w:w="1960"/>
            <w:vAlign w:val="center"/>
          </w:tcPr>
          <w:p>
            <w:pPr>
              <w:spacing w:before="40" w:after="40" w:line="240" w:lineRule="auto"/>
            </w:pPr>
            <w:r>
              <w:rPr>
                <w:sz w:val="17"/>
              </w:rPr>
            </w:r>
          </w:p>
        </w:tc>
        <w:tc>
          <w:tcPr>
            <w:tcW w:type="dxa" w:w="2138"/>
            <w:vAlign w:val="center"/>
          </w:tcPr>
          <w:p>
            <w:pPr>
              <w:spacing w:before="40" w:after="40" w:line="240" w:lineRule="auto"/>
            </w:pPr>
            <w:r>
              <w:rPr>
                <w:sz w:val="17"/>
              </w:rPr>
            </w:r>
          </w:p>
        </w:tc>
      </w:tr>
    </w:tbl>
    <w:p>
      <w:pPr>
        <w:spacing w:after="0"/>
      </w:pPr>
    </w:p>
    <w:p>
      <w:r>
        <w:rPr>
          <w:b w:val="0"/>
        </w:rPr>
        <w:t>Evidence references / checked dates: ____________________________________________________________</w:t>
      </w:r>
    </w:p>
    <w:tbl>
      <w:tblPr>
        <w:tblW w:type="auto" w:w="0"/>
        <w:tblLook w:firstColumn="1" w:firstRow="1" w:lastColumn="0" w:lastRow="0" w:noHBand="0" w:noVBand="1" w:val="04A0"/>
      </w:tblPr>
      <w:tblGrid>
        <w:gridCol w:w="10512"/>
      </w:tblGrid>
      <w:tr>
        <w:tc>
          <w:tcPr>
            <w:tcW w:type="dxa" w:w="10512"/>
            <w:shd w:fill="EDF5F7"/>
          </w:tcPr>
          <w:p>
            <w:pPr>
              <w:spacing w:before="80" w:after="80"/>
            </w:pPr>
            <w:r>
              <w:rPr>
                <w:b/>
                <w:color w:val="147D92"/>
              </w:rPr>
              <w:t xml:space="preserve">PASS WHEN  </w:t>
            </w:r>
            <w:r>
              <w:t>Every phase has named ownership and an observable exit condition; every applicable conditional component is accounted for.[1]</w:t>
            </w:r>
          </w:p>
        </w:tc>
      </w:tr>
    </w:tbl>
    <w:p>
      <w:r>
        <w:rPr>
          <w:b w:val="0"/>
          <w:color w:val="536573"/>
          <w:sz w:val="17"/>
        </w:rPr>
        <w:t>STOP / HOLD: Missing owner/dependency, unhandled Identity Broker placement, an unplanned rotation conflict, or absent phase-exit evidence.</w:t>
      </w:r>
    </w:p>
    <w:p>
      <w:r>
        <w:rPr>
          <w:b w:val="0"/>
        </w:rPr>
        <w:t>Additional stop conditions / unresolved blockers: ____________________________________________________________</w:t>
      </w:r>
    </w:p>
    <w:p>
      <w:r>
        <w:br w:type="page"/>
      </w:r>
    </w:p>
    <w:p>
      <w:pPr>
        <w:pStyle w:val="Heading1"/>
      </w:pPr>
      <w:r>
        <w:t>GATE 4  /  Prove recovery and the Day-2 handoff</w:t>
      </w:r>
    </w:p>
    <w:p>
      <w:r>
        <w:rPr>
          <w:b w:val="0"/>
        </w:rPr>
        <w:t>Backups must connect to a recovery owner and a product-specific procedure.[1]</w:t>
      </w:r>
    </w:p>
    <w:p>
      <w:r>
        <w:rPr>
          <w:b w:val="0"/>
          <w:color w:val="536573"/>
          <w:sz w:val="17"/>
        </w:rPr>
        <w:t>Change ID: ____________________    Target build: ____________________</w:t>
      </w:r>
    </w:p>
    <w:p>
      <w:r>
        <w:rPr>
          <w:b w:val="0"/>
        </w:rPr>
        <w:t>Owner: ________________________    Reviewer / date: ________________________</w:t>
      </w:r>
    </w:p>
    <w:p>
      <w:r>
        <w:rPr>
          <w:b w:val="0"/>
          <w:color w:val="536573"/>
          <w:sz w:val="17"/>
        </w:rPr>
        <w:t>Status:  Not assessed / In progress / Blocked / Pass</w:t>
      </w:r>
    </w:p>
    <w:p>
      <w:pPr>
        <w:ind w:left="274" w:hanging="274"/>
      </w:pPr>
      <w:r>
        <w:rPr>
          <w:rFonts w:ascii="DejaVu Sans" w:hAnsi="DejaVu Sans"/>
        </w:rPr>
        <w:t xml:space="preserve">☐ </w:t>
      </w:r>
      <w:r>
        <w:t>Confirm recent native file-based vCenter backups, SFTP backup targets for SDDC Manager and VCF Operations, and NSX Manager backup evidence.[1]</w:t>
      </w:r>
    </w:p>
    <w:p>
      <w:pPr>
        <w:ind w:left="274" w:hanging="274"/>
      </w:pPr>
      <w:r>
        <w:rPr>
          <w:rFonts w:ascii="DejaVu Sans" w:hAnsi="DejaVu Sans"/>
        </w:rPr>
        <w:t xml:space="preserve">☐ </w:t>
      </w:r>
      <w:r>
        <w:t>Record backup identity/time, location/access evidence, recovery owner, and the applicable restore procedure. A snapshot-only plan does not satisfy this gate.[1]</w:t>
      </w:r>
    </w:p>
    <w:p>
      <w:pPr>
        <w:ind w:left="274" w:hanging="274"/>
      </w:pPr>
      <w:r>
        <w:rPr>
          <w:rFonts w:ascii="DejaVu Sans" w:hAnsi="DejaVu Sans"/>
        </w:rPr>
        <w:t xml:space="preserve">☐ </w:t>
      </w:r>
      <w:r>
        <w:t>Document recovery-validation evidence and outstanding gaps; distinguish a completed restore exercise from a procedure review. Do not mark untested recovery as tested.</w:t>
      </w:r>
    </w:p>
    <w:p>
      <w:pPr>
        <w:ind w:left="274" w:hanging="274"/>
      </w:pPr>
      <w:r>
        <w:rPr>
          <w:rFonts w:ascii="DejaVu Sans" w:hAnsi="DejaVu Sans"/>
        </w:rPr>
        <w:t xml:space="preserve">☐ </w:t>
      </w:r>
      <w:r>
        <w:t>Hand off the management-services restrictions: no moves to another resource pool or VM folder; Storage vMotion of these nodes to another datastore is unsupported.[1]</w:t>
      </w:r>
    </w:p>
    <w:p>
      <w:pPr>
        <w:ind w:left="274" w:hanging="274"/>
      </w:pPr>
      <w:r>
        <w:rPr>
          <w:rFonts w:ascii="DejaVu Sans" w:hAnsi="DejaVu Sans"/>
        </w:rPr>
        <w:t xml:space="preserve">☐ </w:t>
      </w:r>
      <w:r>
        <w:t>Verify Storage DRS behavior for the actual deployment build. The article notes it is disabled by default starting with VCF 9.1 EP2; do not assume older deployments have that setting.[1]</w:t>
      </w:r>
    </w:p>
    <w:p>
      <w:pPr>
        <w:ind w:left="274" w:hanging="274"/>
      </w:pPr>
      <w:r>
        <w:rPr>
          <w:rFonts w:ascii="DejaVu Sans" w:hAnsi="DejaVu Sans"/>
        </w:rPr>
        <w:t xml:space="preserve">☐ </w:t>
      </w:r>
      <w:r>
        <w:t>Confirm the operations team will use VCF Operations for lifecycle work after the upgrade, rather than relying on the deprecated SDDC Manager UI.[1]</w:t>
      </w:r>
    </w:p>
    <w:p>
      <w:pPr>
        <w:pStyle w:val="Heading2"/>
      </w:pPr>
      <w:r>
        <w:t>Recovery evidence — keep credentials out of this worksheet</w:t>
      </w:r>
    </w:p>
    <w:tbl>
      <w:tblPr>
        <w:tblStyle w:val="TableGrid"/>
        <w:tblW w:type="auto" w:w="0"/>
        <w:jc w:val="center"/>
        <w:tblLayout w:type="fixed"/>
        <w:tblLook w:firstColumn="1" w:firstRow="1" w:lastColumn="0" w:lastRow="0" w:noHBand="0" w:noVBand="1" w:val="04A0"/>
      </w:tblPr>
      <w:tblGrid>
        <w:gridCol w:w="2175"/>
        <w:gridCol w:w="3262"/>
        <w:gridCol w:w="3262"/>
        <w:gridCol w:w="1812"/>
      </w:tblGrid>
      <w:tr>
        <w:trPr>
          <w:tblHeader/>
          <w:cantSplit/>
        </w:trPr>
        <w:tc>
          <w:tcPr>
            <w:tcW w:type="dxa" w:w="2175"/>
            <w:shd w:fill="147D92"/>
            <w:vAlign w:val="center"/>
          </w:tcPr>
          <w:p>
            <w:pPr>
              <w:spacing w:before="40" w:after="40" w:line="240" w:lineRule="auto"/>
            </w:pPr>
            <w:r>
              <w:rPr>
                <w:b/>
                <w:color w:val="FFFFFF"/>
                <w:sz w:val="17"/>
              </w:rPr>
              <w:t>Component</w:t>
            </w:r>
          </w:p>
        </w:tc>
        <w:tc>
          <w:tcPr>
            <w:tcW w:type="dxa" w:w="3262"/>
            <w:shd w:fill="147D92"/>
            <w:vAlign w:val="center"/>
          </w:tcPr>
          <w:p>
            <w:pPr>
              <w:spacing w:before="40" w:after="40" w:line="240" w:lineRule="auto"/>
            </w:pPr>
            <w:r>
              <w:rPr>
                <w:b/>
                <w:color w:val="FFFFFF"/>
                <w:sz w:val="17"/>
              </w:rPr>
              <w:t>Backup ID / time / location reference</w:t>
            </w:r>
          </w:p>
        </w:tc>
        <w:tc>
          <w:tcPr>
            <w:tcW w:type="dxa" w:w="3262"/>
            <w:shd w:fill="147D92"/>
            <w:vAlign w:val="center"/>
          </w:tcPr>
          <w:p>
            <w:pPr>
              <w:spacing w:before="40" w:after="40" w:line="240" w:lineRule="auto"/>
            </w:pPr>
            <w:r>
              <w:rPr>
                <w:b/>
                <w:color w:val="FFFFFF"/>
                <w:sz w:val="17"/>
              </w:rPr>
              <w:t>Restore procedure / validation evidence</w:t>
            </w:r>
          </w:p>
        </w:tc>
        <w:tc>
          <w:tcPr>
            <w:tcW w:type="dxa" w:w="1812"/>
            <w:shd w:fill="147D92"/>
            <w:vAlign w:val="center"/>
          </w:tcPr>
          <w:p>
            <w:pPr>
              <w:spacing w:before="40" w:after="40" w:line="240" w:lineRule="auto"/>
            </w:pPr>
            <w:r>
              <w:rPr>
                <w:b/>
                <w:color w:val="FFFFFF"/>
                <w:sz w:val="17"/>
              </w:rPr>
              <w:t>Recovery owner</w:t>
            </w:r>
          </w:p>
        </w:tc>
      </w:tr>
      <w:tr>
        <w:trPr>
          <w:trHeight w:val="418" w:hRule="atLeast"/>
          <w:cantSplit/>
        </w:trPr>
        <w:tc>
          <w:tcPr>
            <w:tcW w:type="dxa" w:w="2175"/>
            <w:vAlign w:val="center"/>
          </w:tcPr>
          <w:p>
            <w:pPr>
              <w:spacing w:before="40" w:after="40" w:line="240" w:lineRule="auto"/>
            </w:pPr>
            <w:r>
              <w:rPr>
                <w:sz w:val="17"/>
              </w:rPr>
              <w:t>vCenter appliance(s)</w:t>
            </w:r>
          </w:p>
        </w:tc>
        <w:tc>
          <w:tcPr>
            <w:tcW w:type="dxa" w:w="3262"/>
            <w:vAlign w:val="center"/>
          </w:tcPr>
          <w:p>
            <w:pPr>
              <w:spacing w:before="40" w:after="40" w:line="240" w:lineRule="auto"/>
            </w:pPr>
            <w:r>
              <w:rPr>
                <w:sz w:val="17"/>
              </w:rPr>
            </w:r>
          </w:p>
        </w:tc>
        <w:tc>
          <w:tcPr>
            <w:tcW w:type="dxa" w:w="3262"/>
            <w:vAlign w:val="center"/>
          </w:tcPr>
          <w:p>
            <w:pPr>
              <w:spacing w:before="40" w:after="40" w:line="240" w:lineRule="auto"/>
            </w:pPr>
            <w:r>
              <w:rPr>
                <w:sz w:val="17"/>
              </w:rPr>
            </w:r>
          </w:p>
        </w:tc>
        <w:tc>
          <w:tcPr>
            <w:tcW w:type="dxa" w:w="1812"/>
            <w:vAlign w:val="center"/>
          </w:tcPr>
          <w:p>
            <w:pPr>
              <w:spacing w:before="40" w:after="40" w:line="240" w:lineRule="auto"/>
            </w:pPr>
            <w:r>
              <w:rPr>
                <w:sz w:val="17"/>
              </w:rPr>
            </w:r>
          </w:p>
        </w:tc>
      </w:tr>
      <w:tr>
        <w:trPr>
          <w:trHeight w:val="418" w:hRule="atLeast"/>
          <w:cantSplit/>
        </w:trPr>
        <w:tc>
          <w:tcPr>
            <w:tcW w:type="dxa" w:w="2175"/>
            <w:vAlign w:val="center"/>
          </w:tcPr>
          <w:p>
            <w:pPr>
              <w:spacing w:before="40" w:after="40" w:line="240" w:lineRule="auto"/>
            </w:pPr>
            <w:r>
              <w:rPr>
                <w:sz w:val="17"/>
              </w:rPr>
              <w:t>SDDC Manager</w:t>
            </w:r>
          </w:p>
        </w:tc>
        <w:tc>
          <w:tcPr>
            <w:tcW w:type="dxa" w:w="3262"/>
            <w:vAlign w:val="center"/>
          </w:tcPr>
          <w:p>
            <w:pPr>
              <w:spacing w:before="40" w:after="40" w:line="240" w:lineRule="auto"/>
            </w:pPr>
            <w:r>
              <w:rPr>
                <w:sz w:val="17"/>
              </w:rPr>
            </w:r>
          </w:p>
        </w:tc>
        <w:tc>
          <w:tcPr>
            <w:tcW w:type="dxa" w:w="3262"/>
            <w:vAlign w:val="center"/>
          </w:tcPr>
          <w:p>
            <w:pPr>
              <w:spacing w:before="40" w:after="40" w:line="240" w:lineRule="auto"/>
            </w:pPr>
            <w:r>
              <w:rPr>
                <w:sz w:val="17"/>
              </w:rPr>
            </w:r>
          </w:p>
        </w:tc>
        <w:tc>
          <w:tcPr>
            <w:tcW w:type="dxa" w:w="1812"/>
            <w:vAlign w:val="center"/>
          </w:tcPr>
          <w:p>
            <w:pPr>
              <w:spacing w:before="40" w:after="40" w:line="240" w:lineRule="auto"/>
            </w:pPr>
            <w:r>
              <w:rPr>
                <w:sz w:val="17"/>
              </w:rPr>
            </w:r>
          </w:p>
        </w:tc>
      </w:tr>
      <w:tr>
        <w:trPr>
          <w:trHeight w:val="418" w:hRule="atLeast"/>
          <w:cantSplit/>
        </w:trPr>
        <w:tc>
          <w:tcPr>
            <w:tcW w:type="dxa" w:w="2175"/>
            <w:vAlign w:val="center"/>
          </w:tcPr>
          <w:p>
            <w:pPr>
              <w:spacing w:before="40" w:after="40" w:line="240" w:lineRule="auto"/>
            </w:pPr>
            <w:r>
              <w:rPr>
                <w:sz w:val="17"/>
              </w:rPr>
              <w:t>VCF Operations</w:t>
            </w:r>
          </w:p>
        </w:tc>
        <w:tc>
          <w:tcPr>
            <w:tcW w:type="dxa" w:w="3262"/>
            <w:vAlign w:val="center"/>
          </w:tcPr>
          <w:p>
            <w:pPr>
              <w:spacing w:before="40" w:after="40" w:line="240" w:lineRule="auto"/>
            </w:pPr>
            <w:r>
              <w:rPr>
                <w:sz w:val="17"/>
              </w:rPr>
            </w:r>
          </w:p>
        </w:tc>
        <w:tc>
          <w:tcPr>
            <w:tcW w:type="dxa" w:w="3262"/>
            <w:vAlign w:val="center"/>
          </w:tcPr>
          <w:p>
            <w:pPr>
              <w:spacing w:before="40" w:after="40" w:line="240" w:lineRule="auto"/>
            </w:pPr>
            <w:r>
              <w:rPr>
                <w:sz w:val="17"/>
              </w:rPr>
            </w:r>
          </w:p>
        </w:tc>
        <w:tc>
          <w:tcPr>
            <w:tcW w:type="dxa" w:w="1812"/>
            <w:vAlign w:val="center"/>
          </w:tcPr>
          <w:p>
            <w:pPr>
              <w:spacing w:before="40" w:after="40" w:line="240" w:lineRule="auto"/>
            </w:pPr>
            <w:r>
              <w:rPr>
                <w:sz w:val="17"/>
              </w:rPr>
            </w:r>
          </w:p>
        </w:tc>
      </w:tr>
      <w:tr>
        <w:trPr>
          <w:trHeight w:val="418" w:hRule="atLeast"/>
          <w:cantSplit/>
        </w:trPr>
        <w:tc>
          <w:tcPr>
            <w:tcW w:type="dxa" w:w="2175"/>
            <w:vAlign w:val="center"/>
          </w:tcPr>
          <w:p>
            <w:pPr>
              <w:spacing w:before="40" w:after="40" w:line="240" w:lineRule="auto"/>
            </w:pPr>
            <w:r>
              <w:rPr>
                <w:sz w:val="17"/>
              </w:rPr>
              <w:t>NSX Managers</w:t>
            </w:r>
          </w:p>
        </w:tc>
        <w:tc>
          <w:tcPr>
            <w:tcW w:type="dxa" w:w="3262"/>
            <w:vAlign w:val="center"/>
          </w:tcPr>
          <w:p>
            <w:pPr>
              <w:spacing w:before="40" w:after="40" w:line="240" w:lineRule="auto"/>
            </w:pPr>
            <w:r>
              <w:rPr>
                <w:sz w:val="17"/>
              </w:rPr>
            </w:r>
          </w:p>
        </w:tc>
        <w:tc>
          <w:tcPr>
            <w:tcW w:type="dxa" w:w="3262"/>
            <w:vAlign w:val="center"/>
          </w:tcPr>
          <w:p>
            <w:pPr>
              <w:spacing w:before="40" w:after="40" w:line="240" w:lineRule="auto"/>
            </w:pPr>
            <w:r>
              <w:rPr>
                <w:sz w:val="17"/>
              </w:rPr>
            </w:r>
          </w:p>
        </w:tc>
        <w:tc>
          <w:tcPr>
            <w:tcW w:type="dxa" w:w="1812"/>
            <w:vAlign w:val="center"/>
          </w:tcPr>
          <w:p>
            <w:pPr>
              <w:spacing w:before="40" w:after="40" w:line="240" w:lineRule="auto"/>
            </w:pPr>
            <w:r>
              <w:rPr>
                <w:sz w:val="17"/>
              </w:rPr>
            </w:r>
          </w:p>
        </w:tc>
      </w:tr>
    </w:tbl>
    <w:p>
      <w:pPr>
        <w:spacing w:after="0"/>
      </w:pPr>
    </w:p>
    <w:p>
      <w:r>
        <w:rPr>
          <w:b w:val="0"/>
        </w:rPr>
        <w:t>Day-2 handoff recipient / date: ____________________________________________________________</w:t>
      </w:r>
    </w:p>
    <w:p>
      <w:r>
        <w:rPr>
          <w:b w:val="0"/>
        </w:rPr>
        <w:t>Recovery exercise or review date / result / gaps: ____________________________________________________________</w:t>
      </w:r>
    </w:p>
    <w:p>
      <w:r>
        <w:rPr>
          <w:b w:val="0"/>
        </w:rPr>
        <w:t>Evidence references / checked dates: ____________________________________________________________</w:t>
      </w:r>
    </w:p>
    <w:tbl>
      <w:tblPr>
        <w:tblW w:type="auto" w:w="0"/>
        <w:tblLook w:firstColumn="1" w:firstRow="1" w:lastColumn="0" w:lastRow="0" w:noHBand="0" w:noVBand="1" w:val="04A0"/>
      </w:tblPr>
      <w:tblGrid>
        <w:gridCol w:w="10512"/>
      </w:tblGrid>
      <w:tr>
        <w:tc>
          <w:tcPr>
            <w:tcW w:type="dxa" w:w="10512"/>
            <w:shd w:fill="EDF5F7"/>
          </w:tcPr>
          <w:p>
            <w:pPr>
              <w:spacing w:before="80" w:after="80"/>
            </w:pPr>
            <w:r>
              <w:rPr>
                <w:b/>
                <w:color w:val="147D92"/>
              </w:rPr>
              <w:t xml:space="preserve">PASS WHEN  </w:t>
            </w:r>
            <w:r>
              <w:t>Recovery responsibility is assigned and evidence-backed; the operating team acknowledges the placement and lifecycle rules.[1]</w:t>
            </w:r>
          </w:p>
        </w:tc>
      </w:tr>
    </w:tbl>
    <w:p>
      <w:r>
        <w:rPr>
          <w:b w:val="0"/>
          <w:color w:val="536573"/>
          <w:sz w:val="17"/>
        </w:rPr>
        <w:t>STOP / HOLD: Missing/inaccessible backup, unknown restore owner or procedure, undisclosed recovery gap, or unacknowledged Day-2 restrictions.</w:t>
      </w:r>
    </w:p>
    <w:p>
      <w:r>
        <w:rPr>
          <w:b w:val="0"/>
        </w:rPr>
        <w:t>Additional stop conditions / unresolved blockers: ____________________________________________________________</w:t>
      </w:r>
    </w:p>
    <w:p>
      <w:r>
        <w:br w:type="page"/>
      </w:r>
    </w:p>
    <w:p>
      <w:pPr>
        <w:pStyle w:val="Heading1"/>
      </w:pPr>
      <w:r>
        <w:t>GATE 5  /  Validate the automation workstation</w:t>
      </w:r>
    </w:p>
    <w:p>
      <w:r>
        <w:rPr>
          <w:b w:val="0"/>
        </w:rPr>
        <w:t>Automation needs its own evidence; infrastructure success does not prove script compatibility.[1]</w:t>
      </w:r>
    </w:p>
    <w:p>
      <w:r>
        <w:rPr>
          <w:b w:val="0"/>
          <w:color w:val="536573"/>
          <w:sz w:val="17"/>
        </w:rPr>
        <w:t>Change ID: ____________________    Target build: ____________________</w:t>
      </w:r>
    </w:p>
    <w:p>
      <w:r>
        <w:rPr>
          <w:b w:val="0"/>
        </w:rPr>
        <w:t>Owner: ________________________    Reviewer / date: ________________________</w:t>
      </w:r>
    </w:p>
    <w:p>
      <w:r>
        <w:rPr>
          <w:b w:val="0"/>
          <w:color w:val="536573"/>
          <w:sz w:val="17"/>
        </w:rPr>
        <w:t>Status:  Not assessed / In progress / Blocked / Pass</w:t>
      </w:r>
    </w:p>
    <w:p>
      <w:pPr>
        <w:ind w:left="274" w:hanging="274"/>
      </w:pPr>
      <w:r>
        <w:rPr>
          <w:rFonts w:ascii="DejaVu Sans" w:hAnsi="DejaVu Sans"/>
        </w:rPr>
        <w:t xml:space="preserve">☐ </w:t>
      </w:r>
      <w:r>
        <w:t>Inventory the hosts and identities that actually run scheduled jobs—not just the interactive administration shell.[1]</w:t>
      </w:r>
    </w:p>
    <w:p>
      <w:pPr>
        <w:ind w:left="274" w:hanging="274"/>
      </w:pPr>
      <w:r>
        <w:rPr>
          <w:rFonts w:ascii="DejaVu Sans" w:hAnsi="DejaVu Sans"/>
        </w:rPr>
        <w:t xml:space="preserve">☐ </w:t>
      </w:r>
      <w:r>
        <w:t>Record PowerCLI, SDK, language-runtime, and PowerShell versions and verify support for the chosen target release.[1]</w:t>
      </w:r>
    </w:p>
    <w:p>
      <w:pPr>
        <w:ind w:left="274" w:hanging="274"/>
      </w:pPr>
      <w:r>
        <w:rPr>
          <w:rFonts w:ascii="DejaVu Sans" w:hAnsi="DejaVu Sans"/>
        </w:rPr>
        <w:t xml:space="preserve">☐ </w:t>
      </w:r>
      <w:r>
        <w:t>Test the selected module/SDK/runtime combination in a separate environment before changing the scheduled runner.[1]</w:t>
      </w:r>
    </w:p>
    <w:p>
      <w:pPr>
        <w:ind w:left="274" w:hanging="274"/>
      </w:pPr>
      <w:r>
        <w:rPr>
          <w:rFonts w:ascii="DejaVu Sans" w:hAnsi="DejaVu Sans"/>
        </w:rPr>
        <w:t xml:space="preserve">☐ </w:t>
      </w:r>
      <w:r>
        <w:t>Run representative authentication, certificate/trust, and inventory workflows read-only first; retain results.[1]</w:t>
      </w:r>
    </w:p>
    <w:p>
      <w:pPr>
        <w:ind w:left="274" w:hanging="274"/>
      </w:pPr>
      <w:r>
        <w:rPr>
          <w:rFonts w:ascii="DejaVu Sans" w:hAnsi="DejaVu Sans"/>
        </w:rPr>
        <w:t xml:space="preserve">☐ </w:t>
      </w:r>
      <w:r>
        <w:t>Identify and test only explicitly approved write operations; retain their approval and result evidence separately.[1]</w:t>
      </w:r>
    </w:p>
    <w:p>
      <w:pPr>
        <w:ind w:left="274" w:hanging="274"/>
      </w:pPr>
      <w:r>
        <w:rPr>
          <w:rFonts w:ascii="DejaVu Sans" w:hAnsi="DejaVu Sans"/>
        </w:rPr>
        <w:t xml:space="preserve">☐ </w:t>
      </w:r>
      <w:r>
        <w:t>Assign owners and evidence for scheduled scripts, monitoring, and post-upgrade automation validation.[1]</w:t>
      </w:r>
    </w:p>
    <w:p>
      <w:r>
        <w:rPr>
          <w:b w:val="0"/>
          <w:color w:val="536573"/>
          <w:sz w:val="17"/>
        </w:rPr>
        <w:t>For the article's 9.1.1 toolchain: Python SDK 9.1.1.0 supports Python 3.10–3.14; Java SDK requires Java 17+; PowerCLI 9.1.1 requires PowerShell Core 7.0.13+, adds Python 3.14 for Image Builder, and drops Image Builder Python 3.7–3.9. These are compatibility boundaries, not recommended minimum deployments. Recheck the exact tool release.[1]</w:t>
      </w:r>
    </w:p>
    <w:p>
      <w:pPr>
        <w:pStyle w:val="Heading2"/>
      </w:pPr>
      <w:r>
        <w:t>Scheduled-runner and workflow validation</w:t>
      </w:r>
    </w:p>
    <w:tbl>
      <w:tblPr>
        <w:tblStyle w:val="TableGrid"/>
        <w:tblW w:type="auto" w:w="0"/>
        <w:jc w:val="center"/>
        <w:tblLayout w:type="fixed"/>
        <w:tblLook w:firstColumn="1" w:firstRow="1" w:lastColumn="0" w:lastRow="0" w:noHBand="0" w:noVBand="1" w:val="04A0"/>
      </w:tblPr>
      <w:tblGrid>
        <w:gridCol w:w="2453"/>
        <w:gridCol w:w="2803"/>
        <w:gridCol w:w="2628"/>
        <w:gridCol w:w="2628"/>
      </w:tblGrid>
      <w:tr>
        <w:trPr>
          <w:tblHeader/>
          <w:cantSplit/>
        </w:trPr>
        <w:tc>
          <w:tcPr>
            <w:tcW w:type="dxa" w:w="2453"/>
            <w:shd w:fill="147D92"/>
            <w:vAlign w:val="center"/>
          </w:tcPr>
          <w:p>
            <w:pPr>
              <w:spacing w:before="40" w:after="40" w:line="240" w:lineRule="auto"/>
            </w:pPr>
            <w:r>
              <w:rPr>
                <w:b/>
                <w:color w:val="FFFFFF"/>
                <w:sz w:val="17"/>
              </w:rPr>
              <w:t>Runner / job / identity</w:t>
            </w:r>
          </w:p>
        </w:tc>
        <w:tc>
          <w:tcPr>
            <w:tcW w:type="dxa" w:w="2803"/>
            <w:shd w:fill="147D92"/>
            <w:vAlign w:val="center"/>
          </w:tcPr>
          <w:p>
            <w:pPr>
              <w:spacing w:before="40" w:after="40" w:line="240" w:lineRule="auto"/>
            </w:pPr>
            <w:r>
              <w:rPr>
                <w:b/>
                <w:color w:val="FFFFFF"/>
                <w:sz w:val="17"/>
              </w:rPr>
              <w:t>Module / SDK / runtime versions</w:t>
            </w:r>
          </w:p>
        </w:tc>
        <w:tc>
          <w:tcPr>
            <w:tcW w:type="dxa" w:w="2628"/>
            <w:shd w:fill="147D92"/>
            <w:vAlign w:val="center"/>
          </w:tcPr>
          <w:p>
            <w:pPr>
              <w:spacing w:before="40" w:after="40" w:line="240" w:lineRule="auto"/>
            </w:pPr>
            <w:r>
              <w:rPr>
                <w:b/>
                <w:color w:val="FFFFFF"/>
                <w:sz w:val="17"/>
              </w:rPr>
              <w:t>Read-only test + evidence</w:t>
            </w:r>
          </w:p>
        </w:tc>
        <w:tc>
          <w:tcPr>
            <w:tcW w:type="dxa" w:w="2628"/>
            <w:shd w:fill="147D92"/>
            <w:vAlign w:val="center"/>
          </w:tcPr>
          <w:p>
            <w:pPr>
              <w:spacing w:before="40" w:after="40" w:line="240" w:lineRule="auto"/>
            </w:pPr>
            <w:r>
              <w:rPr>
                <w:b/>
                <w:color w:val="FFFFFF"/>
                <w:sz w:val="17"/>
              </w:rPr>
              <w:t>Approved write test + evidence</w:t>
            </w:r>
          </w:p>
        </w:tc>
      </w:tr>
      <w:tr>
        <w:trPr>
          <w:trHeight w:val="518" w:hRule="atLeast"/>
          <w:cantSplit/>
        </w:trPr>
        <w:tc>
          <w:tcPr>
            <w:tcW w:type="dxa" w:w="2453"/>
            <w:vAlign w:val="center"/>
          </w:tcPr>
          <w:p>
            <w:pPr>
              <w:spacing w:before="40" w:after="40" w:line="240" w:lineRule="auto"/>
            </w:pPr>
            <w:r>
              <w:rPr>
                <w:sz w:val="17"/>
              </w:rPr>
            </w:r>
          </w:p>
        </w:tc>
        <w:tc>
          <w:tcPr>
            <w:tcW w:type="dxa" w:w="2803"/>
            <w:vAlign w:val="center"/>
          </w:tcPr>
          <w:p>
            <w:pPr>
              <w:spacing w:before="40" w:after="40" w:line="240" w:lineRule="auto"/>
            </w:pPr>
            <w:r>
              <w:rPr>
                <w:sz w:val="17"/>
              </w:rPr>
            </w:r>
          </w:p>
        </w:tc>
        <w:tc>
          <w:tcPr>
            <w:tcW w:type="dxa" w:w="2628"/>
            <w:vAlign w:val="center"/>
          </w:tcPr>
          <w:p>
            <w:pPr>
              <w:spacing w:before="40" w:after="40" w:line="240" w:lineRule="auto"/>
            </w:pPr>
            <w:r>
              <w:rPr>
                <w:sz w:val="17"/>
              </w:rPr>
            </w:r>
          </w:p>
        </w:tc>
        <w:tc>
          <w:tcPr>
            <w:tcW w:type="dxa" w:w="2628"/>
            <w:vAlign w:val="center"/>
          </w:tcPr>
          <w:p>
            <w:pPr>
              <w:spacing w:before="40" w:after="40" w:line="240" w:lineRule="auto"/>
            </w:pPr>
            <w:r>
              <w:rPr>
                <w:sz w:val="17"/>
              </w:rPr>
            </w:r>
          </w:p>
        </w:tc>
      </w:tr>
      <w:tr>
        <w:trPr>
          <w:trHeight w:val="518" w:hRule="atLeast"/>
          <w:cantSplit/>
        </w:trPr>
        <w:tc>
          <w:tcPr>
            <w:tcW w:type="dxa" w:w="2453"/>
            <w:vAlign w:val="center"/>
          </w:tcPr>
          <w:p>
            <w:pPr>
              <w:spacing w:before="40" w:after="40" w:line="240" w:lineRule="auto"/>
            </w:pPr>
            <w:r>
              <w:rPr>
                <w:sz w:val="17"/>
              </w:rPr>
            </w:r>
          </w:p>
        </w:tc>
        <w:tc>
          <w:tcPr>
            <w:tcW w:type="dxa" w:w="2803"/>
            <w:vAlign w:val="center"/>
          </w:tcPr>
          <w:p>
            <w:pPr>
              <w:spacing w:before="40" w:after="40" w:line="240" w:lineRule="auto"/>
            </w:pPr>
            <w:r>
              <w:rPr>
                <w:sz w:val="17"/>
              </w:rPr>
            </w:r>
          </w:p>
        </w:tc>
        <w:tc>
          <w:tcPr>
            <w:tcW w:type="dxa" w:w="2628"/>
            <w:vAlign w:val="center"/>
          </w:tcPr>
          <w:p>
            <w:pPr>
              <w:spacing w:before="40" w:after="40" w:line="240" w:lineRule="auto"/>
            </w:pPr>
            <w:r>
              <w:rPr>
                <w:sz w:val="17"/>
              </w:rPr>
            </w:r>
          </w:p>
        </w:tc>
        <w:tc>
          <w:tcPr>
            <w:tcW w:type="dxa" w:w="2628"/>
            <w:vAlign w:val="center"/>
          </w:tcPr>
          <w:p>
            <w:pPr>
              <w:spacing w:before="40" w:after="40" w:line="240" w:lineRule="auto"/>
            </w:pPr>
            <w:r>
              <w:rPr>
                <w:sz w:val="17"/>
              </w:rPr>
            </w:r>
          </w:p>
        </w:tc>
      </w:tr>
      <w:tr>
        <w:trPr>
          <w:trHeight w:val="518" w:hRule="atLeast"/>
          <w:cantSplit/>
        </w:trPr>
        <w:tc>
          <w:tcPr>
            <w:tcW w:type="dxa" w:w="2453"/>
            <w:vAlign w:val="center"/>
          </w:tcPr>
          <w:p>
            <w:pPr>
              <w:spacing w:before="40" w:after="40" w:line="240" w:lineRule="auto"/>
            </w:pPr>
            <w:r>
              <w:rPr>
                <w:sz w:val="17"/>
              </w:rPr>
            </w:r>
          </w:p>
        </w:tc>
        <w:tc>
          <w:tcPr>
            <w:tcW w:type="dxa" w:w="2803"/>
            <w:vAlign w:val="center"/>
          </w:tcPr>
          <w:p>
            <w:pPr>
              <w:spacing w:before="40" w:after="40" w:line="240" w:lineRule="auto"/>
            </w:pPr>
            <w:r>
              <w:rPr>
                <w:sz w:val="17"/>
              </w:rPr>
            </w:r>
          </w:p>
        </w:tc>
        <w:tc>
          <w:tcPr>
            <w:tcW w:type="dxa" w:w="2628"/>
            <w:vAlign w:val="center"/>
          </w:tcPr>
          <w:p>
            <w:pPr>
              <w:spacing w:before="40" w:after="40" w:line="240" w:lineRule="auto"/>
            </w:pPr>
            <w:r>
              <w:rPr>
                <w:sz w:val="17"/>
              </w:rPr>
            </w:r>
          </w:p>
        </w:tc>
        <w:tc>
          <w:tcPr>
            <w:tcW w:type="dxa" w:w="2628"/>
            <w:vAlign w:val="center"/>
          </w:tcPr>
          <w:p>
            <w:pPr>
              <w:spacing w:before="40" w:after="40" w:line="240" w:lineRule="auto"/>
            </w:pPr>
            <w:r>
              <w:rPr>
                <w:sz w:val="17"/>
              </w:rPr>
            </w:r>
          </w:p>
        </w:tc>
      </w:tr>
      <w:tr>
        <w:trPr>
          <w:trHeight w:val="518" w:hRule="atLeast"/>
          <w:cantSplit/>
        </w:trPr>
        <w:tc>
          <w:tcPr>
            <w:tcW w:type="dxa" w:w="2453"/>
            <w:vAlign w:val="center"/>
          </w:tcPr>
          <w:p>
            <w:pPr>
              <w:spacing w:before="40" w:after="40" w:line="240" w:lineRule="auto"/>
            </w:pPr>
            <w:r>
              <w:rPr>
                <w:sz w:val="17"/>
              </w:rPr>
            </w:r>
          </w:p>
        </w:tc>
        <w:tc>
          <w:tcPr>
            <w:tcW w:type="dxa" w:w="2803"/>
            <w:vAlign w:val="center"/>
          </w:tcPr>
          <w:p>
            <w:pPr>
              <w:spacing w:before="40" w:after="40" w:line="240" w:lineRule="auto"/>
            </w:pPr>
            <w:r>
              <w:rPr>
                <w:sz w:val="17"/>
              </w:rPr>
            </w:r>
          </w:p>
        </w:tc>
        <w:tc>
          <w:tcPr>
            <w:tcW w:type="dxa" w:w="2628"/>
            <w:vAlign w:val="center"/>
          </w:tcPr>
          <w:p>
            <w:pPr>
              <w:spacing w:before="40" w:after="40" w:line="240" w:lineRule="auto"/>
            </w:pPr>
            <w:r>
              <w:rPr>
                <w:sz w:val="17"/>
              </w:rPr>
            </w:r>
          </w:p>
        </w:tc>
        <w:tc>
          <w:tcPr>
            <w:tcW w:type="dxa" w:w="2628"/>
            <w:vAlign w:val="center"/>
          </w:tcPr>
          <w:p>
            <w:pPr>
              <w:spacing w:before="40" w:after="40" w:line="240" w:lineRule="auto"/>
            </w:pPr>
            <w:r>
              <w:rPr>
                <w:sz w:val="17"/>
              </w:rPr>
            </w:r>
          </w:p>
        </w:tc>
      </w:tr>
    </w:tbl>
    <w:p>
      <w:pPr>
        <w:spacing w:after="0"/>
      </w:pPr>
    </w:p>
    <w:p>
      <w:r>
        <w:rPr>
          <w:b w:val="0"/>
        </w:rPr>
        <w:t>Test environment / test date: ____________________________________________________________</w:t>
      </w:r>
    </w:p>
    <w:p>
      <w:r>
        <w:rPr>
          <w:b w:val="0"/>
        </w:rPr>
        <w:t>Automation support owner / escalation reference: ____________________________________________________________</w:t>
      </w:r>
    </w:p>
    <w:p>
      <w:r>
        <w:rPr>
          <w:b w:val="0"/>
        </w:rPr>
        <w:t>Evidence references / checked dates: ____________________________________________________________</w:t>
      </w:r>
    </w:p>
    <w:tbl>
      <w:tblPr>
        <w:tblW w:type="auto" w:w="0"/>
        <w:tblLook w:firstColumn="1" w:firstRow="1" w:lastColumn="0" w:lastRow="0" w:noHBand="0" w:noVBand="1" w:val="04A0"/>
      </w:tblPr>
      <w:tblGrid>
        <w:gridCol w:w="10512"/>
      </w:tblGrid>
      <w:tr>
        <w:tc>
          <w:tcPr>
            <w:tcW w:type="dxa" w:w="10512"/>
            <w:shd w:fill="EDF5F7"/>
          </w:tcPr>
          <w:p>
            <w:pPr>
              <w:spacing w:before="80" w:after="80"/>
            </w:pPr>
            <w:r>
              <w:rPr>
                <w:b/>
                <w:color w:val="147D92"/>
              </w:rPr>
              <w:t xml:space="preserve">PASS WHEN  </w:t>
            </w:r>
            <w:r>
              <w:t>Operational automation has recorded validation results on its actual execution stack, independent of the platform-upgrade status.[1]</w:t>
            </w:r>
          </w:p>
        </w:tc>
      </w:tr>
    </w:tbl>
    <w:p>
      <w:r>
        <w:rPr>
          <w:b w:val="0"/>
          <w:color w:val="536573"/>
          <w:sz w:val="17"/>
        </w:rPr>
        <w:t>STOP / HOLD: Unsupported runtime/module combination, unresolved authentication/trust failure, missing representative test evidence, or unapproved write operations.</w:t>
      </w:r>
    </w:p>
    <w:p>
      <w:r>
        <w:rPr>
          <w:b w:val="0"/>
        </w:rPr>
        <w:t>Additional stop conditions / unresolved blockers: ____________________________________________________________</w:t>
      </w:r>
    </w:p>
    <w:p>
      <w:r>
        <w:br w:type="page"/>
      </w:r>
    </w:p>
    <w:p>
      <w:pPr>
        <w:pStyle w:val="Heading1"/>
      </w:pPr>
      <w:r>
        <w:t>Execution authorization &amp; closeout</w:t>
      </w:r>
    </w:p>
    <w:p>
      <w:r>
        <w:rPr>
          <w:b w:val="0"/>
        </w:rPr>
        <w:t>Readiness approval and post-upgrade acceptance are separate decisions. Do not pre-mark validation as passed.</w:t>
      </w:r>
    </w:p>
    <w:p>
      <w:pPr>
        <w:pStyle w:val="Heading2"/>
      </w:pPr>
      <w:r>
        <w:t>Before the window — go / no-go</w:t>
      </w:r>
    </w:p>
    <w:p>
      <w:pPr>
        <w:ind w:left="274" w:hanging="274"/>
      </w:pPr>
      <w:r>
        <w:rPr>
          <w:rFonts w:ascii="DejaVu Sans" w:hAnsi="DejaVu Sans"/>
        </w:rPr>
        <w:t xml:space="preserve">☐ </w:t>
      </w:r>
      <w:r>
        <w:t>All five gates have a reviewed Pass; required evidence is accessible and current.</w:t>
      </w:r>
    </w:p>
    <w:p>
      <w:pPr>
        <w:ind w:left="274" w:hanging="274"/>
      </w:pPr>
      <w:r>
        <w:rPr>
          <w:rFonts w:ascii="DejaVu Sans" w:hAnsi="DejaVu Sans"/>
        </w:rPr>
        <w:t xml:space="preserve">☐ </w:t>
      </w:r>
      <w:r>
        <w:t>All scope changes, dependencies, item-level N/A decisions, and residual risks have explicit disposition.</w:t>
      </w:r>
    </w:p>
    <w:p>
      <w:pPr>
        <w:ind w:left="274" w:hanging="274"/>
      </w:pPr>
      <w:r>
        <w:rPr>
          <w:rFonts w:ascii="DejaVu Sans" w:hAnsi="DejaVu Sans"/>
        </w:rPr>
        <w:t xml:space="preserve">☐ </w:t>
      </w:r>
      <w:r>
        <w:t>The maintenance window, communications, recovery owner, and escalation contacts are confirmed.</w:t>
      </w:r>
    </w:p>
    <w:p>
      <w:r>
        <w:rPr>
          <w:b w:val="0"/>
        </w:rPr>
        <w:t>Decision:  ☐ GO    ☐ NO-GO / HOLD</w:t>
      </w:r>
    </w:p>
    <w:p>
      <w:r>
        <w:rPr>
          <w:b w:val="0"/>
        </w:rPr>
        <w:t>Approver / role / approval date and time: ____________________________________________________________</w:t>
      </w:r>
    </w:p>
    <w:p>
      <w:r>
        <w:rPr>
          <w:b w:val="0"/>
        </w:rPr>
        <w:t>Approval reference / conditions / unresolved issues: ____________________________________________________________</w:t>
      </w:r>
    </w:p>
    <w:p>
      <w:pPr>
        <w:pStyle w:val="Heading2"/>
      </w:pPr>
      <w:r>
        <w:t>Readiness packet attachment index [1]</w:t>
      </w:r>
    </w:p>
    <w:tbl>
      <w:tblPr>
        <w:tblStyle w:val="TableGrid"/>
        <w:tblW w:type="auto" w:w="0"/>
        <w:jc w:val="center"/>
        <w:tblLayout w:type="fixed"/>
        <w:tblLook w:firstColumn="1" w:firstRow="1" w:lastColumn="0" w:lastRow="0" w:noHBand="0" w:noVBand="1" w:val="04A0"/>
      </w:tblPr>
      <w:tblGrid>
        <w:gridCol w:w="6689"/>
        <w:gridCol w:w="3823"/>
      </w:tblGrid>
      <w:tr>
        <w:trPr>
          <w:tblHeader/>
          <w:cantSplit/>
        </w:trPr>
        <w:tc>
          <w:tcPr>
            <w:tcW w:type="dxa" w:w="6689"/>
            <w:shd w:fill="147D92"/>
            <w:vAlign w:val="center"/>
          </w:tcPr>
          <w:p>
            <w:pPr>
              <w:spacing w:before="40" w:after="40" w:line="240" w:lineRule="auto"/>
            </w:pPr>
            <w:r>
              <w:rPr>
                <w:b/>
                <w:color w:val="FFFFFF"/>
                <w:sz w:val="17"/>
              </w:rPr>
              <w:t>Attachment</w:t>
            </w:r>
          </w:p>
        </w:tc>
        <w:tc>
          <w:tcPr>
            <w:tcW w:type="dxa" w:w="3823"/>
            <w:shd w:fill="147D92"/>
            <w:vAlign w:val="center"/>
          </w:tcPr>
          <w:p>
            <w:pPr>
              <w:spacing w:before="40" w:after="40" w:line="240" w:lineRule="auto"/>
            </w:pPr>
            <w:r>
              <w:rPr>
                <w:b/>
                <w:color w:val="FFFFFF"/>
                <w:sz w:val="17"/>
              </w:rPr>
              <w:t>Evidence ID / link</w:t>
            </w:r>
          </w:p>
        </w:tc>
      </w:tr>
      <w:tr>
        <w:trPr>
          <w:trHeight w:val="346" w:hRule="atLeast"/>
          <w:cantSplit/>
        </w:trPr>
        <w:tc>
          <w:tcPr>
            <w:tcW w:type="dxa" w:w="6689"/>
            <w:vAlign w:val="center"/>
          </w:tcPr>
          <w:p>
            <w:pPr>
              <w:spacing w:before="40" w:after="40" w:line="240" w:lineRule="auto"/>
            </w:pPr>
            <w:r>
              <w:rPr>
                <w:sz w:val="17"/>
              </w:rPr>
              <w:t>Exact source/target inventory and dated path/interoperability references</w:t>
            </w:r>
          </w:p>
        </w:tc>
        <w:tc>
          <w:tcPr>
            <w:tcW w:type="dxa" w:w="3823"/>
            <w:vAlign w:val="center"/>
          </w:tcPr>
          <w:p>
            <w:pPr>
              <w:spacing w:before="40" w:after="40" w:line="240" w:lineRule="auto"/>
            </w:pPr>
            <w:r>
              <w:rPr>
                <w:sz w:val="17"/>
              </w:rPr>
            </w:r>
          </w:p>
        </w:tc>
      </w:tr>
      <w:tr>
        <w:trPr>
          <w:trHeight w:val="346" w:hRule="atLeast"/>
          <w:cantSplit/>
        </w:trPr>
        <w:tc>
          <w:tcPr>
            <w:tcW w:type="dxa" w:w="6689"/>
            <w:vAlign w:val="center"/>
          </w:tcPr>
          <w:p>
            <w:pPr>
              <w:spacing w:before="40" w:after="40" w:line="240" w:lineRule="auto"/>
            </w:pPr>
            <w:r>
              <w:rPr>
                <w:sz w:val="17"/>
              </w:rPr>
              <w:t>Owned phase sequence, exit evidence, and stop conditions</w:t>
            </w:r>
          </w:p>
        </w:tc>
        <w:tc>
          <w:tcPr>
            <w:tcW w:type="dxa" w:w="3823"/>
            <w:vAlign w:val="center"/>
          </w:tcPr>
          <w:p>
            <w:pPr>
              <w:spacing w:before="40" w:after="40" w:line="240" w:lineRule="auto"/>
            </w:pPr>
            <w:r>
              <w:rPr>
                <w:sz w:val="17"/>
              </w:rPr>
            </w:r>
          </w:p>
        </w:tc>
      </w:tr>
      <w:tr>
        <w:trPr>
          <w:trHeight w:val="346" w:hRule="atLeast"/>
          <w:cantSplit/>
        </w:trPr>
        <w:tc>
          <w:tcPr>
            <w:tcW w:type="dxa" w:w="6689"/>
            <w:vAlign w:val="center"/>
          </w:tcPr>
          <w:p>
            <w:pPr>
              <w:spacing w:before="40" w:after="40" w:line="240" w:lineRule="auto"/>
            </w:pPr>
            <w:r>
              <w:rPr>
                <w:sz w:val="17"/>
              </w:rPr>
              <w:t>Network/DNS/certificate/address-allocation evidence</w:t>
            </w:r>
          </w:p>
        </w:tc>
        <w:tc>
          <w:tcPr>
            <w:tcW w:type="dxa" w:w="3823"/>
            <w:vAlign w:val="center"/>
          </w:tcPr>
          <w:p>
            <w:pPr>
              <w:spacing w:before="40" w:after="40" w:line="240" w:lineRule="auto"/>
            </w:pPr>
            <w:r>
              <w:rPr>
                <w:sz w:val="17"/>
              </w:rPr>
            </w:r>
          </w:p>
        </w:tc>
      </w:tr>
      <w:tr>
        <w:trPr>
          <w:trHeight w:val="346" w:hRule="atLeast"/>
          <w:cantSplit/>
        </w:trPr>
        <w:tc>
          <w:tcPr>
            <w:tcW w:type="dxa" w:w="6689"/>
            <w:vAlign w:val="center"/>
          </w:tcPr>
          <w:p>
            <w:pPr>
              <w:spacing w:before="40" w:after="40" w:line="240" w:lineRule="auto"/>
            </w:pPr>
            <w:r>
              <w:rPr>
                <w:sz w:val="17"/>
              </w:rPr>
              <w:t>Backup/recovery evidence and Day-2 handoff</w:t>
            </w:r>
          </w:p>
        </w:tc>
        <w:tc>
          <w:tcPr>
            <w:tcW w:type="dxa" w:w="3823"/>
            <w:vAlign w:val="center"/>
          </w:tcPr>
          <w:p>
            <w:pPr>
              <w:spacing w:before="40" w:after="40" w:line="240" w:lineRule="auto"/>
            </w:pPr>
            <w:r>
              <w:rPr>
                <w:sz w:val="17"/>
              </w:rPr>
            </w:r>
          </w:p>
        </w:tc>
      </w:tr>
      <w:tr>
        <w:trPr>
          <w:trHeight w:val="346" w:hRule="atLeast"/>
          <w:cantSplit/>
        </w:trPr>
        <w:tc>
          <w:tcPr>
            <w:tcW w:type="dxa" w:w="6689"/>
            <w:vAlign w:val="center"/>
          </w:tcPr>
          <w:p>
            <w:pPr>
              <w:spacing w:before="40" w:after="40" w:line="240" w:lineRule="auto"/>
            </w:pPr>
            <w:r>
              <w:rPr>
                <w:sz w:val="17"/>
              </w:rPr>
              <w:t>Automation results and post-upgrade acceptance plan</w:t>
            </w:r>
          </w:p>
        </w:tc>
        <w:tc>
          <w:tcPr>
            <w:tcW w:type="dxa" w:w="3823"/>
            <w:vAlign w:val="center"/>
          </w:tcPr>
          <w:p>
            <w:pPr>
              <w:spacing w:before="40" w:after="40" w:line="240" w:lineRule="auto"/>
            </w:pPr>
            <w:r>
              <w:rPr>
                <w:sz w:val="17"/>
              </w:rPr>
            </w:r>
          </w:p>
        </w:tc>
      </w:tr>
    </w:tbl>
    <w:p>
      <w:pPr>
        <w:spacing w:after="0"/>
      </w:pPr>
    </w:p>
    <w:p>
      <w:pPr>
        <w:pStyle w:val="Heading2"/>
      </w:pPr>
      <w:r>
        <w:t>After the upgrade — record actual validation [1]</w:t>
      </w:r>
    </w:p>
    <w:tbl>
      <w:tblPr>
        <w:tblStyle w:val="TableGrid"/>
        <w:tblW w:type="auto" w:w="0"/>
        <w:jc w:val="center"/>
        <w:tblLayout w:type="fixed"/>
        <w:tblLook w:firstColumn="1" w:firstRow="1" w:lastColumn="0" w:lastRow="0" w:noHBand="0" w:noVBand="1" w:val="04A0"/>
      </w:tblPr>
      <w:tblGrid>
        <w:gridCol w:w="4426"/>
        <w:gridCol w:w="2029"/>
        <w:gridCol w:w="4057"/>
      </w:tblGrid>
      <w:tr>
        <w:trPr>
          <w:tblHeader/>
          <w:cantSplit/>
        </w:trPr>
        <w:tc>
          <w:tcPr>
            <w:tcW w:type="dxa" w:w="4426"/>
            <w:shd w:fill="147D92"/>
            <w:vAlign w:val="center"/>
          </w:tcPr>
          <w:p>
            <w:pPr>
              <w:spacing w:before="40" w:after="40" w:line="240" w:lineRule="auto"/>
            </w:pPr>
            <w:r>
              <w:rPr>
                <w:b/>
                <w:color w:val="FFFFFF"/>
                <w:sz w:val="17"/>
              </w:rPr>
              <w:t>Check</w:t>
            </w:r>
          </w:p>
        </w:tc>
        <w:tc>
          <w:tcPr>
            <w:tcW w:type="dxa" w:w="2029"/>
            <w:shd w:fill="147D92"/>
            <w:vAlign w:val="center"/>
          </w:tcPr>
          <w:p>
            <w:pPr>
              <w:spacing w:before="40" w:after="40" w:line="240" w:lineRule="auto"/>
            </w:pPr>
            <w:r>
              <w:rPr>
                <w:b/>
                <w:color w:val="FFFFFF"/>
                <w:sz w:val="17"/>
              </w:rPr>
              <w:t>Verifier</w:t>
            </w:r>
          </w:p>
        </w:tc>
        <w:tc>
          <w:tcPr>
            <w:tcW w:type="dxa" w:w="4057"/>
            <w:shd w:fill="147D92"/>
            <w:vAlign w:val="center"/>
          </w:tcPr>
          <w:p>
            <w:pPr>
              <w:spacing w:before="40" w:after="40" w:line="240" w:lineRule="auto"/>
            </w:pPr>
            <w:r>
              <w:rPr>
                <w:b/>
                <w:color w:val="FFFFFF"/>
                <w:sz w:val="17"/>
              </w:rPr>
              <w:t>Result / evidence ID / date</w:t>
            </w:r>
          </w:p>
        </w:tc>
      </w:tr>
      <w:tr>
        <w:trPr>
          <w:trHeight w:val="346" w:hRule="atLeast"/>
          <w:cantSplit/>
        </w:trPr>
        <w:tc>
          <w:tcPr>
            <w:tcW w:type="dxa" w:w="4426"/>
            <w:vAlign w:val="center"/>
          </w:tcPr>
          <w:p>
            <w:pPr>
              <w:spacing w:before="40" w:after="40" w:line="240" w:lineRule="auto"/>
            </w:pPr>
            <w:r>
              <w:rPr>
                <w:sz w:val="17"/>
              </w:rPr>
              <w:t>Authentication and identity access</w:t>
            </w:r>
          </w:p>
        </w:tc>
        <w:tc>
          <w:tcPr>
            <w:tcW w:type="dxa" w:w="2029"/>
            <w:vAlign w:val="center"/>
          </w:tcPr>
          <w:p>
            <w:pPr>
              <w:spacing w:before="40" w:after="40" w:line="240" w:lineRule="auto"/>
            </w:pPr>
            <w:r>
              <w:rPr>
                <w:sz w:val="17"/>
              </w:rPr>
            </w:r>
          </w:p>
        </w:tc>
        <w:tc>
          <w:tcPr>
            <w:tcW w:type="dxa" w:w="4057"/>
            <w:vAlign w:val="center"/>
          </w:tcPr>
          <w:p>
            <w:pPr>
              <w:spacing w:before="40" w:after="40" w:line="240" w:lineRule="auto"/>
            </w:pPr>
            <w:r>
              <w:rPr>
                <w:sz w:val="17"/>
              </w:rPr>
            </w:r>
          </w:p>
        </w:tc>
      </w:tr>
      <w:tr>
        <w:trPr>
          <w:trHeight w:val="346" w:hRule="atLeast"/>
          <w:cantSplit/>
        </w:trPr>
        <w:tc>
          <w:tcPr>
            <w:tcW w:type="dxa" w:w="4426"/>
            <w:vAlign w:val="center"/>
          </w:tcPr>
          <w:p>
            <w:pPr>
              <w:spacing w:before="40" w:after="40" w:line="240" w:lineRule="auto"/>
            </w:pPr>
            <w:r>
              <w:rPr>
                <w:sz w:val="17"/>
              </w:rPr>
              <w:t>Licensing / entitlement state</w:t>
            </w:r>
          </w:p>
        </w:tc>
        <w:tc>
          <w:tcPr>
            <w:tcW w:type="dxa" w:w="2029"/>
            <w:vAlign w:val="center"/>
          </w:tcPr>
          <w:p>
            <w:pPr>
              <w:spacing w:before="40" w:after="40" w:line="240" w:lineRule="auto"/>
            </w:pPr>
            <w:r>
              <w:rPr>
                <w:sz w:val="17"/>
              </w:rPr>
            </w:r>
          </w:p>
        </w:tc>
        <w:tc>
          <w:tcPr>
            <w:tcW w:type="dxa" w:w="4057"/>
            <w:vAlign w:val="center"/>
          </w:tcPr>
          <w:p>
            <w:pPr>
              <w:spacing w:before="40" w:after="40" w:line="240" w:lineRule="auto"/>
            </w:pPr>
            <w:r>
              <w:rPr>
                <w:sz w:val="17"/>
              </w:rPr>
            </w:r>
          </w:p>
        </w:tc>
      </w:tr>
      <w:tr>
        <w:trPr>
          <w:trHeight w:val="346" w:hRule="atLeast"/>
          <w:cantSplit/>
        </w:trPr>
        <w:tc>
          <w:tcPr>
            <w:tcW w:type="dxa" w:w="4426"/>
            <w:vAlign w:val="center"/>
          </w:tcPr>
          <w:p>
            <w:pPr>
              <w:spacing w:before="40" w:after="40" w:line="240" w:lineRule="auto"/>
            </w:pPr>
            <w:r>
              <w:rPr>
                <w:sz w:val="17"/>
              </w:rPr>
              <w:t>Monitoring / collection / alerting</w:t>
            </w:r>
          </w:p>
        </w:tc>
        <w:tc>
          <w:tcPr>
            <w:tcW w:type="dxa" w:w="2029"/>
            <w:vAlign w:val="center"/>
          </w:tcPr>
          <w:p>
            <w:pPr>
              <w:spacing w:before="40" w:after="40" w:line="240" w:lineRule="auto"/>
            </w:pPr>
            <w:r>
              <w:rPr>
                <w:sz w:val="17"/>
              </w:rPr>
            </w:r>
          </w:p>
        </w:tc>
        <w:tc>
          <w:tcPr>
            <w:tcW w:type="dxa" w:w="4057"/>
            <w:vAlign w:val="center"/>
          </w:tcPr>
          <w:p>
            <w:pPr>
              <w:spacing w:before="40" w:after="40" w:line="240" w:lineRule="auto"/>
            </w:pPr>
            <w:r>
              <w:rPr>
                <w:sz w:val="17"/>
              </w:rPr>
            </w:r>
          </w:p>
        </w:tc>
      </w:tr>
      <w:tr>
        <w:trPr>
          <w:trHeight w:val="346" w:hRule="atLeast"/>
          <w:cantSplit/>
        </w:trPr>
        <w:tc>
          <w:tcPr>
            <w:tcW w:type="dxa" w:w="4426"/>
            <w:vAlign w:val="center"/>
          </w:tcPr>
          <w:p>
            <w:pPr>
              <w:spacing w:before="40" w:after="40" w:line="240" w:lineRule="auto"/>
            </w:pPr>
            <w:r>
              <w:rPr>
                <w:sz w:val="17"/>
              </w:rPr>
              <w:t>Lifecycle operations / component health</w:t>
            </w:r>
          </w:p>
        </w:tc>
        <w:tc>
          <w:tcPr>
            <w:tcW w:type="dxa" w:w="2029"/>
            <w:vAlign w:val="center"/>
          </w:tcPr>
          <w:p>
            <w:pPr>
              <w:spacing w:before="40" w:after="40" w:line="240" w:lineRule="auto"/>
            </w:pPr>
            <w:r>
              <w:rPr>
                <w:sz w:val="17"/>
              </w:rPr>
            </w:r>
          </w:p>
        </w:tc>
        <w:tc>
          <w:tcPr>
            <w:tcW w:type="dxa" w:w="4057"/>
            <w:vAlign w:val="center"/>
          </w:tcPr>
          <w:p>
            <w:pPr>
              <w:spacing w:before="40" w:after="40" w:line="240" w:lineRule="auto"/>
            </w:pPr>
            <w:r>
              <w:rPr>
                <w:sz w:val="17"/>
              </w:rPr>
            </w:r>
          </w:p>
        </w:tc>
      </w:tr>
      <w:tr>
        <w:trPr>
          <w:trHeight w:val="346" w:hRule="atLeast"/>
          <w:cantSplit/>
        </w:trPr>
        <w:tc>
          <w:tcPr>
            <w:tcW w:type="dxa" w:w="4426"/>
            <w:vAlign w:val="center"/>
          </w:tcPr>
          <w:p>
            <w:pPr>
              <w:spacing w:before="40" w:after="40" w:line="240" w:lineRule="auto"/>
            </w:pPr>
            <w:r>
              <w:rPr>
                <w:sz w:val="17"/>
              </w:rPr>
              <w:t>Scheduled automation / representative workflows</w:t>
            </w:r>
          </w:p>
        </w:tc>
        <w:tc>
          <w:tcPr>
            <w:tcW w:type="dxa" w:w="2029"/>
            <w:vAlign w:val="center"/>
          </w:tcPr>
          <w:p>
            <w:pPr>
              <w:spacing w:before="40" w:after="40" w:line="240" w:lineRule="auto"/>
            </w:pPr>
            <w:r>
              <w:rPr>
                <w:sz w:val="17"/>
              </w:rPr>
            </w:r>
          </w:p>
        </w:tc>
        <w:tc>
          <w:tcPr>
            <w:tcW w:type="dxa" w:w="4057"/>
            <w:vAlign w:val="center"/>
          </w:tcPr>
          <w:p>
            <w:pPr>
              <w:spacing w:before="40" w:after="40" w:line="240" w:lineRule="auto"/>
            </w:pPr>
            <w:r>
              <w:rPr>
                <w:sz w:val="17"/>
              </w:rPr>
            </w:r>
          </w:p>
        </w:tc>
      </w:tr>
      <w:tr>
        <w:trPr>
          <w:trHeight w:val="346" w:hRule="atLeast"/>
          <w:cantSplit/>
        </w:trPr>
        <w:tc>
          <w:tcPr>
            <w:tcW w:type="dxa" w:w="4426"/>
            <w:vAlign w:val="center"/>
          </w:tcPr>
          <w:p>
            <w:pPr>
              <w:spacing w:before="40" w:after="40" w:line="240" w:lineRule="auto"/>
            </w:pPr>
            <w:r>
              <w:rPr>
                <w:sz w:val="17"/>
              </w:rPr>
              <w:t>Day-2 operating handoff accepted</w:t>
            </w:r>
          </w:p>
        </w:tc>
        <w:tc>
          <w:tcPr>
            <w:tcW w:type="dxa" w:w="2029"/>
            <w:vAlign w:val="center"/>
          </w:tcPr>
          <w:p>
            <w:pPr>
              <w:spacing w:before="40" w:after="40" w:line="240" w:lineRule="auto"/>
            </w:pPr>
            <w:r>
              <w:rPr>
                <w:sz w:val="17"/>
              </w:rPr>
            </w:r>
          </w:p>
        </w:tc>
        <w:tc>
          <w:tcPr>
            <w:tcW w:type="dxa" w:w="4057"/>
            <w:vAlign w:val="center"/>
          </w:tcPr>
          <w:p>
            <w:pPr>
              <w:spacing w:before="40" w:after="40" w:line="240" w:lineRule="auto"/>
            </w:pPr>
            <w:r>
              <w:rPr>
                <w:sz w:val="17"/>
              </w:rPr>
            </w:r>
          </w:p>
        </w:tc>
      </w:tr>
    </w:tbl>
    <w:p>
      <w:pPr>
        <w:spacing w:after="0"/>
      </w:pPr>
    </w:p>
    <w:p>
      <w:r>
        <w:rPr>
          <w:b w:val="0"/>
          <w:color w:val="536573"/>
          <w:sz w:val="17"/>
        </w:rPr>
        <w:t>Result values: Not run / Pass / Fail / Blocked / N/A with reviewed reason.</w:t>
      </w:r>
    </w:p>
    <w:p>
      <w:r>
        <w:rPr>
          <w:b w:val="0"/>
        </w:rPr>
        <w:t>Actual target builds / deviations / remaining actions: ____________________________________________________________</w:t>
      </w:r>
    </w:p>
    <w:p>
      <w:r>
        <w:rPr>
          <w:b w:val="0"/>
        </w:rPr>
        <w:t>Closeout owner / acceptance reference / date: ____________________________________________________________</w:t>
      </w:r>
    </w:p>
    <w:p>
      <w:r>
        <w:rPr>
          <w:b/>
          <w:color w:val="536573"/>
          <w:sz w:val="17"/>
        </w:rPr>
        <w:t>Sources and scope</w:t>
      </w:r>
    </w:p>
    <w:p>
      <w:r>
        <w:rPr>
          <w:b w:val="0"/>
          <w:color w:val="536573"/>
          <w:sz w:val="17"/>
        </w:rPr>
      </w:r>
    </w:p>
    <w:p>
      <w:r>
        <w:rPr>
          <w:b w:val="0"/>
          <w:color w:val="536573"/>
          <w:sz w:val="17"/>
        </w:rPr>
        <w:t>[1] https://ithinkvirtual.com/posts/vcf-9-1-upgrade-readiness-five-gates — Before You Upgrade to VCF 9.1.x: Five Readiness Gates | iThinkVirtual</w:t>
      </w:r>
    </w:p>
    <w:p>
      <w:r>
        <w:rPr>
          <w:b w:val="0"/>
          <w:color w:val="536573"/>
          <w:sz w:val="17"/>
        </w:rPr>
        <w:t>Adapted from the published iThinkVirtual article, retrieved September 30, 2026. This worksheet is not an independent re-audit of vendor documentation. Recheck version-specific conditions before execution.</w:t>
      </w:r>
    </w:p>
    <w:sectPr w:rsidR="00FC693F" w:rsidRPr="0006063C" w:rsidSect="00034616">
      <w:headerReference w:type="default" r:id="rId9"/>
      <w:footerReference w:type="default" r:id="rId10"/>
      <w:pgSz w:w="12240" w:h="15840"/>
      <w:pgMar w:top="936" w:right="864" w:bottom="864" w:left="864" w:header="374"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44" w:val="left"/>
      </w:tabs>
    </w:pPr>
    <w:r>
      <w:rPr>
        <w:sz w:val="16"/>
      </w:rPr>
      <w:t>VCF 9.1.x  •  v1.1  •  September 30, 2026</w:t>
      <w:tab/>
      <w:t xml:space="preserve">Page </w:t>
    </w:r>
    <w:fldSimple w:instr="PAGE"/>
    <w:r>
      <w:rPr>
        <w:sz w:val="16"/>
      </w:rPr>
      <w:t xml:space="preserve"> of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47D92"/>
        <w:sz w:val="18"/>
      </w:rPr>
      <w:t>iThinkVirtual  /  FIELD CHECKLIST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en-U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0" w:lineRule="auto"/>
    </w:pPr>
    <w:rPr>
      <w:rFonts w:ascii="Liberation Sans" w:hAnsi="Liberation Sans"/>
      <w:color w:val="24374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100"/>
      <w:outlineLvl w:val="0"/>
    </w:pPr>
    <w:rPr>
      <w:rFonts w:asciiTheme="majorHAnsi" w:eastAsiaTheme="majorEastAsia" w:hAnsiTheme="majorHAnsi" w:cstheme="majorBidi" w:ascii="Liberation Sans" w:hAnsi="Liberation Sans"/>
      <w:b/>
      <w:bCs/>
      <w:color w:val="243746"/>
      <w:sz w:val="38"/>
      <w:szCs w:val="28"/>
    </w:rPr>
  </w:style>
  <w:style w:type="paragraph" w:styleId="Heading2">
    <w:name w:val="heading 2"/>
    <w:basedOn w:val="Normal"/>
    <w:next w:val="Normal"/>
    <w:link w:val="Heading2Char"/>
    <w:uiPriority w:val="9"/>
    <w:unhideWhenUsed/>
    <w:qFormat/>
    <w:rsid w:val="00FC693F"/>
    <w:pPr>
      <w:keepNext/>
      <w:keepLines/>
      <w:spacing w:before="140" w:after="100"/>
      <w:outlineLvl w:val="1"/>
    </w:pPr>
    <w:rPr>
      <w:rFonts w:asciiTheme="majorHAnsi" w:eastAsiaTheme="majorEastAsia" w:hAnsiTheme="majorHAnsi" w:cstheme="majorBidi" w:ascii="Liberation Sans" w:hAnsi="Liberation Sans"/>
      <w:b/>
      <w:bCs/>
      <w:color w:val="147D92"/>
      <w:sz w:val="22"/>
      <w:szCs w:val="26"/>
    </w:rPr>
  </w:style>
  <w:style w:type="paragraph" w:styleId="Heading3">
    <w:name w:val="heading 3"/>
    <w:basedOn w:val="Normal"/>
    <w:next w:val="Normal"/>
    <w:link w:val="Heading3Char"/>
    <w:uiPriority w:val="9"/>
    <w:unhideWhenUsed/>
    <w:qFormat/>
    <w:rsid w:val="00FC693F"/>
    <w:pPr>
      <w:keepNext/>
      <w:keepLines/>
      <w:spacing w:before="140" w:after="100"/>
      <w:outlineLvl w:val="2"/>
    </w:pPr>
    <w:rPr>
      <w:rFonts w:asciiTheme="majorHAnsi" w:eastAsiaTheme="majorEastAsia" w:hAnsiTheme="majorHAnsi" w:cstheme="majorBidi" w:ascii="Liberation Sans" w:hAnsi="Liberation Sans"/>
      <w:b/>
      <w:bCs/>
      <w:color w:val="147D92"/>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40"/>
      <w:contextualSpacing/>
    </w:pPr>
    <w:rPr>
      <w:rFonts w:asciiTheme="majorHAnsi" w:eastAsiaTheme="majorEastAsia" w:hAnsiTheme="majorHAnsi" w:cstheme="majorBidi" w:ascii="Liberation Sans" w:hAnsi="Liberation Sans"/>
      <w:b/>
      <w:color w:val="243746"/>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VCF 9.1.x Upgrade Readiness Checklist</dc:title>
  <dc:subject>Evidence-backed readiness gates and change-review worksheet</dc:subject>
  <dc:creator>Alex López | iThinkVirtual</dc:creator>
  <cp:keywords>VCF 9.1, upgrade readiness, iThinkVirtual, checklist</cp:keywords>
  <dc:description>generated by python-docx</dc:description>
  <cp:lastModifiedBy/>
  <cp:revision>1</cp:revision>
  <dcterms:created xsi:type="dcterms:W3CDTF">2013-12-23T23:15:00Z</dcterms:created>
  <dcterms:modified xsi:type="dcterms:W3CDTF">2013-12-23T23:15:00Z</dcterms:modified>
  <cp:category/>
</cp:coreProperties>
</file>